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NO.: </w:t>
      </w:r>
      <w:r>
        <w:rPr>
          <w:rFonts w:ascii="Times New Roman" w:cs="Times New Roman" w:eastAsia="Times New Roman" w:hAnsi="Times New Roman"/>
          <w:sz w:val="18"/>
          <w:szCs w:val="18"/>
          <w:b w:val="1"/>
          <w:bCs w:val="1"/>
          <w:color w:val="auto"/>
        </w:rPr>
        <w:t>001-15911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72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216"/>
        </w:trPr>
        <w:tc>
          <w:tcPr>
            <w:tcW w:w="472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997 LENOX DRIVE, SUITE 100,</w:t>
            </w:r>
          </w:p>
        </w:tc>
        <w:tc>
          <w:tcPr>
            <w:tcW w:w="3140" w:type="dxa"/>
            <w:vAlign w:val="bottom"/>
          </w:tcPr>
          <w:p>
            <w:pPr>
              <w:spacing w:after="0"/>
              <w:rPr>
                <w:sz w:val="24"/>
                <w:szCs w:val="24"/>
                <w:color w:val="auto"/>
              </w:rPr>
            </w:pPr>
          </w:p>
        </w:tc>
      </w:tr>
      <w:tr>
        <w:trPr>
          <w:trHeight w:val="220"/>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LAWRENCEVILLE, NJ</w:t>
            </w:r>
          </w:p>
        </w:tc>
        <w:tc>
          <w:tcPr>
            <w:tcW w:w="3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08648</w:t>
            </w:r>
          </w:p>
        </w:tc>
      </w:tr>
      <w:tr>
        <w:trPr>
          <w:trHeight w:val="234"/>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896-9100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IMNN</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was approximately $10.8 million as of June 28, 2024 (the last business day of the Registrant’s most recently completed second fiscal quarter) based on the closing sale price of $1.16. for the Registrant’s common stock on that date as reported by The Nasdaq Capital Market (“NASDAQ”). For purposes of this calculation, shares of common stock held by directors, officers and stockholders who own greater than 10% of the Registrant’s outstanding stock at June 30, 2024, were excluded. This determination of executive officers and directors as affiliates is not necessarily a conclusive determination for any other purpose.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21, 2025, 14,620,732 shares of the Registrant’s common stock were issued and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272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rPr>
                <w:sz w:val="15"/>
                <w:szCs w:val="15"/>
                <w:color w:val="auto"/>
              </w:rPr>
            </w:pP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OVERVIEW</w:t>
            </w:r>
          </w:p>
        </w:tc>
        <w:tc>
          <w:tcPr>
            <w:tcW w:w="272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THERAPLAS MODALITY: IMNN-001 DEVELOPMENT PROGRAM</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Ovarian Cancer Overview</w:t>
            </w:r>
          </w:p>
        </w:tc>
        <w:tc>
          <w:tcPr>
            <w:tcW w:w="5320" w:type="dxa"/>
            <w:vAlign w:val="bottom"/>
            <w:tcBorders>
              <w:bottom w:val="single" w:sz="8" w:color="CCEEFF"/>
            </w:tcBorders>
            <w:gridSpan w:val="15"/>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IMNN-001 Immunotherapy</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OVATION I Study</w:t>
            </w:r>
          </w:p>
        </w:tc>
        <w:tc>
          <w:tcPr>
            <w:tcW w:w="5860" w:type="dxa"/>
            <w:vAlign w:val="bottom"/>
            <w:tcBorders>
              <w:bottom w:val="single" w:sz="8" w:color="CCEEFF"/>
            </w:tcBorders>
            <w:gridSpan w:val="20"/>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OVATION 2 Study</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40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PLACCINE DNA VACCINE TECHNOLOGY PLATFORM</w:t>
            </w:r>
          </w:p>
        </w:tc>
        <w:tc>
          <w:tcPr>
            <w:tcW w:w="3140" w:type="dxa"/>
            <w:vAlign w:val="bottom"/>
            <w:tcBorders>
              <w:bottom w:val="single" w:sz="8" w:color="CCEEFF"/>
            </w:tcBorders>
            <w:gridSpan w:val="2"/>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COVID-19 Vaccine Overview</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84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Our Next Generation Vaccine Initiative</w:t>
            </w:r>
          </w:p>
        </w:tc>
        <w:tc>
          <w:tcPr>
            <w:tcW w:w="4380" w:type="dxa"/>
            <w:vAlign w:val="bottom"/>
            <w:tcBorders>
              <w:bottom w:val="single" w:sz="8" w:color="CCEEFF"/>
            </w:tcBorders>
            <w:gridSpan w:val="5"/>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BUSINESS STRATEGY AND DEVELOPMENT PLAN</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14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RESEARCH AND DEVELOPMENT EXPENDITURES</w:t>
            </w:r>
          </w:p>
        </w:tc>
        <w:tc>
          <w:tcPr>
            <w:tcW w:w="3400" w:type="dxa"/>
            <w:vAlign w:val="bottom"/>
            <w:tcBorders>
              <w:bottom w:val="single" w:sz="8" w:color="CCEEFF"/>
            </w:tcBorders>
            <w:gridSpan w:val="3"/>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6"/>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GOVERNMENT REGULATION</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MANUFACTURING AND SUPPLY</w:t>
            </w:r>
          </w:p>
        </w:tc>
        <w:tc>
          <w:tcPr>
            <w:tcW w:w="4840" w:type="dxa"/>
            <w:vAlign w:val="bottom"/>
            <w:tcBorders>
              <w:bottom w:val="single" w:sz="8" w:color="CCEEFF"/>
            </w:tcBorders>
            <w:gridSpan w:val="8"/>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SALES AND MARKETING</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PRODUCT LIABILITY AND INSURANCE</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980" w:type="dxa"/>
            <w:vAlign w:val="bottom"/>
            <w:tcBorders>
              <w:top w:val="single" w:sz="8" w:color="CCEEFF"/>
            </w:tcBorders>
          </w:tcPr>
          <w:p>
            <w:pPr>
              <w:spacing w:after="0"/>
              <w:rPr>
                <w:sz w:val="15"/>
                <w:szCs w:val="15"/>
                <w:color w:val="auto"/>
              </w:rPr>
            </w:pPr>
          </w:p>
        </w:tc>
        <w:tc>
          <w:tcPr>
            <w:tcW w:w="328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COMPETITION</w:t>
            </w:r>
          </w:p>
        </w:tc>
        <w:tc>
          <w:tcPr>
            <w:tcW w:w="4260" w:type="dxa"/>
            <w:vAlign w:val="bottom"/>
            <w:tcBorders>
              <w:top w:val="single" w:sz="8" w:color="CCEEFF"/>
            </w:tcBorders>
            <w:gridSpan w:val="4"/>
          </w:tcPr>
          <w:p>
            <w:pPr>
              <w:spacing w:after="0"/>
              <w:rPr>
                <w:sz w:val="15"/>
                <w:szCs w:val="15"/>
                <w:color w:val="auto"/>
              </w:rPr>
            </w:pPr>
          </w:p>
        </w:tc>
        <w:tc>
          <w:tcPr>
            <w:tcW w:w="2720" w:type="dxa"/>
            <w:vAlign w:val="bottom"/>
            <w:tcBorders>
              <w:top w:val="single" w:sz="8" w:color="CCEEFF"/>
            </w:tcBorders>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INTELLECTUAL PROPERTY</w:t>
            </w:r>
          </w:p>
        </w:tc>
        <w:tc>
          <w:tcPr>
            <w:tcW w:w="5240" w:type="dxa"/>
            <w:vAlign w:val="bottom"/>
            <w:tcBorders>
              <w:bottom w:val="single" w:sz="8" w:color="CCEEFF"/>
            </w:tcBorders>
            <w:gridSpan w:val="13"/>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Patents and Proprietary Rights</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EMPLOYEES</w:t>
            </w:r>
          </w:p>
        </w:tc>
        <w:tc>
          <w:tcPr>
            <w:tcW w:w="6480" w:type="dxa"/>
            <w:vAlign w:val="bottom"/>
            <w:tcBorders>
              <w:bottom w:val="single" w:sz="8" w:color="CCEEFF"/>
            </w:tcBorders>
            <w:gridSpan w:val="24"/>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980" w:type="dxa"/>
            <w:vAlign w:val="bottom"/>
          </w:tcPr>
          <w:p>
            <w:pPr>
              <w:spacing w:after="0"/>
              <w:rPr>
                <w:sz w:val="15"/>
                <w:szCs w:val="15"/>
                <w:color w:val="auto"/>
              </w:rPr>
            </w:pP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COMPANY INFORMATION</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226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280" w:type="dxa"/>
            <w:vAlign w:val="bottom"/>
            <w:tcBorders>
              <w:top w:val="single" w:sz="8" w:color="CCEEFF"/>
            </w:tcBorders>
            <w:gridSpan w:val="14"/>
          </w:tcPr>
          <w:p>
            <w:pPr>
              <w:spacing w:after="0"/>
              <w:rPr>
                <w:sz w:val="15"/>
                <w:szCs w:val="15"/>
                <w:color w:val="auto"/>
              </w:rPr>
            </w:pPr>
          </w:p>
        </w:tc>
        <w:tc>
          <w:tcPr>
            <w:tcW w:w="2720" w:type="dxa"/>
            <w:vAlign w:val="bottom"/>
            <w:tcBorders>
              <w:top w:val="single" w:sz="8" w:color="CCEEFF"/>
            </w:tcBorders>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82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4720" w:type="dxa"/>
            <w:vAlign w:val="bottom"/>
            <w:tcBorders>
              <w:bottom w:val="single" w:sz="8" w:color="CCEEFF"/>
            </w:tcBorders>
            <w:gridSpan w:val="7"/>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75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9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40" w:type="dxa"/>
            <w:vAlign w:val="bottom"/>
            <w:gridSpan w:val="12"/>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40" w:type="dxa"/>
            <w:vAlign w:val="bottom"/>
            <w:gridSpan w:val="12"/>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66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40" w:type="dxa"/>
            <w:vAlign w:val="bottom"/>
            <w:gridSpan w:val="15"/>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TABLE OF CONTENTS (continued)</w:t>
            </w:r>
          </w:p>
        </w:tc>
        <w:tc>
          <w:tcPr>
            <w:tcW w:w="6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75"/>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w:t>
            </w:r>
          </w:p>
        </w:tc>
        <w:tc>
          <w:tcPr>
            <w:tcW w:w="660" w:type="dxa"/>
            <w:vAlign w:val="bottom"/>
            <w:shd w:val="clear" w:color="auto" w:fill="CCEEFF"/>
          </w:tcPr>
          <w:p>
            <w:pPr>
              <w:spacing w:after="0"/>
              <w:rPr>
                <w:sz w:val="15"/>
                <w:szCs w:val="15"/>
                <w:color w:val="auto"/>
              </w:rPr>
            </w:pP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340" w:type="dxa"/>
            <w:vAlign w:val="bottom"/>
            <w:tcBorders>
              <w:top w:val="single" w:sz="8" w:color="0000EE"/>
            </w:tcBorders>
            <w:gridSpan w:val="3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EQUITY SECURITIES</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Market for Our Common Stock</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Record Holders</w:t>
            </w:r>
          </w:p>
        </w:tc>
        <w:tc>
          <w:tcPr>
            <w:tcW w:w="8140" w:type="dxa"/>
            <w:vAlign w:val="bottom"/>
            <w:tcBorders>
              <w:bottom w:val="single" w:sz="8" w:color="CCEEFF"/>
            </w:tcBorders>
            <w:gridSpan w:val="2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8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Equity Securities</w:t>
            </w:r>
          </w:p>
        </w:tc>
        <w:tc>
          <w:tcPr>
            <w:tcW w:w="6440" w:type="dxa"/>
            <w:vAlign w:val="bottom"/>
            <w:tcBorders>
              <w:bottom w:val="single" w:sz="8" w:color="CCEEFF"/>
            </w:tcBorders>
            <w:gridSpan w:val="1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Issuer Purchases of Equity Securities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RESERVED</w:t>
            </w:r>
          </w:p>
        </w:tc>
        <w:tc>
          <w:tcPr>
            <w:tcW w:w="8680" w:type="dxa"/>
            <w:vAlign w:val="bottom"/>
            <w:tcBorders>
              <w:bottom w:val="single" w:sz="8" w:color="CCEEFF"/>
            </w:tcBorders>
            <w:gridSpan w:val="2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Overview</w:t>
            </w:r>
          </w:p>
        </w:tc>
        <w:tc>
          <w:tcPr>
            <w:tcW w:w="8560" w:type="dxa"/>
            <w:vAlign w:val="bottom"/>
            <w:tcBorders>
              <w:bottom w:val="single" w:sz="8" w:color="CCEEFF"/>
            </w:tcBorders>
            <w:gridSpan w:val="2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Business Plan</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Financing Overview</w:t>
            </w:r>
          </w:p>
        </w:tc>
        <w:tc>
          <w:tcPr>
            <w:tcW w:w="7800" w:type="dxa"/>
            <w:vAlign w:val="bottom"/>
            <w:tcBorders>
              <w:bottom w:val="single" w:sz="8" w:color="CCEEFF"/>
            </w:tcBorders>
            <w:gridSpan w:val="2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Critical Accounting Policies and Estimates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Results of Operations</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Financial Condition, Liquidity and Capital Resources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Off-Balance Sheet Arrangements</w:t>
            </w:r>
          </w:p>
        </w:tc>
        <w:tc>
          <w:tcPr>
            <w:tcW w:w="6880" w:type="dxa"/>
            <w:vAlign w:val="bottom"/>
            <w:tcBorders>
              <w:bottom w:val="single" w:sz="8" w:color="CCEEFF"/>
            </w:tcBorders>
            <w:gridSpan w:val="1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6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4940" w:type="dxa"/>
            <w:vAlign w:val="bottom"/>
            <w:tcBorders>
              <w:bottom w:val="single" w:sz="8" w:color="CCEEFF"/>
            </w:tcBorders>
            <w:gridSpan w:val="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26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000" w:type="dxa"/>
            <w:vAlign w:val="bottom"/>
            <w:tcBorders>
              <w:bottom w:val="single" w:sz="8" w:color="CCEEFF"/>
            </w:tcBorders>
            <w:gridSpan w:val="18"/>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54</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54</w:t>
            </w:r>
          </w:p>
        </w:tc>
      </w:tr>
      <w:tr>
        <w:trPr>
          <w:trHeight w:val="216"/>
        </w:trPr>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58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800" w:type="dxa"/>
            <w:vAlign w:val="bottom"/>
            <w:tcBorders>
              <w:bottom w:val="single" w:sz="8" w:color="CCEEFF"/>
            </w:tcBorders>
            <w:gridSpan w:val="8"/>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54</w:t>
            </w: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660" w:type="dxa"/>
            <w:vAlign w:val="bottom"/>
            <w:shd w:val="clear" w:color="auto" w:fill="CCEEFF"/>
          </w:tcPr>
          <w:p>
            <w:pPr>
              <w:spacing w:after="0"/>
              <w:rPr>
                <w:sz w:val="15"/>
                <w:szCs w:val="15"/>
                <w:color w:val="auto"/>
              </w:rPr>
            </w:pPr>
          </w:p>
        </w:tc>
      </w:tr>
      <w:tr>
        <w:trPr>
          <w:trHeight w:val="216"/>
        </w:trPr>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MATTERS</w:t>
            </w:r>
          </w:p>
        </w:tc>
        <w:tc>
          <w:tcPr>
            <w:tcW w:w="8540" w:type="dxa"/>
            <w:vAlign w:val="bottom"/>
            <w:tcBorders>
              <w:top w:val="single" w:sz="8" w:color="0000EE"/>
              <w:bottom w:val="single" w:sz="8" w:color="CCEEFF"/>
            </w:tcBorders>
            <w:gridSpan w:val="29"/>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216"/>
        </w:trPr>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444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EXHIBITS AND FINANCIAL STATEMENT SCHEDULES</w:t>
            </w:r>
          </w:p>
        </w:tc>
        <w:tc>
          <w:tcPr>
            <w:tcW w:w="5160" w:type="dxa"/>
            <w:vAlign w:val="bottom"/>
            <w:tcBorders>
              <w:bottom w:val="single" w:sz="8" w:color="CCEEFF"/>
            </w:tcBorders>
            <w:gridSpan w:val="10"/>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1. FINANCIAL STATEMENTS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3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2. FINANCIAL STATEMENT SCHEDULES</w:t>
            </w:r>
          </w:p>
        </w:tc>
        <w:tc>
          <w:tcPr>
            <w:tcW w:w="6280" w:type="dxa"/>
            <w:vAlign w:val="bottom"/>
            <w:tcBorders>
              <w:bottom w:val="single" w:sz="8" w:color="CCEEFF"/>
            </w:tcBorders>
            <w:gridSpan w:val="1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71</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3. EXHIBITS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74</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of the statements contained in this Annual Report on Form 10-K (“Annual Report”) are forward-looking and constitute forward-looking statements within the meaning of Section 27A of the Securities Act of 1933, as amended (the “Securities Act”), and Section 21E of the Securities Exchange Act of 1934, as amended (the “Exchange Act”). Forward-looking statements may relate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collaborators’ ability to obtain and maintain regulatory approval of any of our drug candidates; possible changes in capital structure, financial condition, future working capital needs and other financial items; uncertainties and assumptions regarding the potential worsening global economic conditions and the recent disruptions to, and volatility in, financial markets in the U.S. and worldwide resulting from the Russian invasion of Ukraine and the unrest in the Middle East on our business, operations, clinical trials, supply chain, strategy, goals and anticipated timelines,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drug candidates and our ability to operate our business without infringing the intellectual property rights of others; our reliance on third parties to conduct preclinical studies or clinical trials; the rate and degree of market acceptance of any approved drug candidates; possible actions by customers, suppliers, strategic partners, potential strategic partners, competitors and regulatory authorities; compliance with listing standards of The Nasdaq Capital Market; and those listed under “Risk Factors” below and elsewhere in this Annual Report.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 Unless the context requires otherwise or unless otherwise noted, all references in this Annual Report to “Imunon,” “the Company”, “we”, “us”, or “our” are to Imunon, Inc., a Delaware corporation and its wholly owned subsidiary, CLSN Laboratories, Inc., also a Delaware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Imunon brand and product names contained in this document are trademarks, registered trademarks or service marks of Imunon, Inc. or its subsidiary in the United States (the “U.S.”) and certain other countries. This document also contains references to trademarks and service marks of other companies that are the property of their respective owners.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Phase II development studies. IMNN-001 works by instructing the body to produce safe and durable levels of powerful cancer-fighting molecules, such as interleukin-12 and interferon gamma, at the tumor site. Additionally, the Company has entered into a first-in-human study of its COVID-19 booster vaccine (IMNN-101). We will continue to leverage these modalities and to advance the technological frontier of plasmid DNA to better serve patients with difficult-to-treat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 or 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biocompatibility of these polymers reduces the risk of adverse immune response, thus allowing for repeated administration. Compared to naked DNA or cationic lipids, we believe that our delivery systems are generally more efficient, cost effective and have a more favorable safety profile. We believe that these advantages place Imunon in a position to capitalize on this technology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THERAPLAS MODALITY: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DEVELOPMENT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more than 60% of women dying within five years of diagnosis. This poor outcome is due in part to the lack of effective prevention and early detection strategies. There were approximately 20,000 new cases of ovarian cancer in the U.S. in 2021 with an estimated 13,000 deaths. Mortality rates for ovarian cancer declined very little in the last 40 years due to the unavailability of detection tests and improved treatments. Most women with ovarian cancer are not diagnosed until Stages III or IV, when the disease has spread outside the pelvis to the abdomen and areas beyond, causing swelling and pain. With the five-year survival rates for Stages III and IV at 41% and 20%, respectively, there remains a need for a therapy that not only reduces the recurrence rate but also meaningfully improves overall survival.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 resistant group has a platinum-free interval of shorter than six months and is resistant to additional platinum-based treatments. Pegylated liposomal doxorubicin, topotecan, and bevacizumab are the only approved second-line therapies for platinum-resistant ovarian cancer. The overall response rate for these therapies is 10% to 20% with median overall survival (“OS”) of 11 to 12 months. Additionally, 10% to 15% of ovarian cancer cases nationwide are a result of germline or somatic BRCA mutations. With cognizance of tumor genetics, practice has shifted to include targeted agents in ovarian cancer treatment.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Poly (ADP-ribose) polymerase (“PARP”)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but few treatment options are left for women who are not eligible to receive PARP inhibitors.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Immunotherapy is an attractive, novel approach for the treatment of ovarian cancer particularly since ovarian cancers are considered immunogenic tumors. Interleukin-12 (“IL-12”) is one of the most active cytokines for the induction of potent anti-cancer immunity acting through the induction of T-lymphocyte and natural killer cell proliferation. The precedence for a therapeutic role of IL-12 in ovarian cancer is based on epidemiologic and clinical and preclinical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administering an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OVATION 1 Study</w:t>
      </w:r>
      <w:r>
        <w:rPr>
          <w:rFonts w:ascii="Times New Roman" w:cs="Times New Roman" w:eastAsia="Times New Roman" w:hAnsi="Times New Roman"/>
          <w:sz w:val="18"/>
          <w:szCs w:val="18"/>
          <w:color w:val="auto"/>
        </w:rPr>
        <w:t>. In February 2015, we announced that the FDA accepted the Phase I dose-escalation clinical trial of IMNN-001 in combination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of care in neoadjuvant ovarian cancer (the “OVATION 1 Study”). The OVATION 1 Study was designed to:</w:t>
      </w:r>
    </w:p>
    <w:p>
      <w:pPr>
        <w:spacing w:after="0" w:line="159"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tolerable and therapeutically active dose of IMNN-001 within certain safety parameters by recruiting and maximizing an immune response;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1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During 2016 and 2017, we announced data from the first 14 patients in the OVATION 1 Study. On October 3, 2017, we announced final translational research and clinical data from the OVATION 1 Study.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were consistent with the earlier reports from partial analysis of the data and are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standard-of-care neoadjuvant chemotherapy (“NACT”) resulted in dose-dependent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were consistent with an IL-12 based immune mechanism;</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Immunohistochemistry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w:t>
      </w:r>
    </w:p>
    <w:p>
      <w:pPr>
        <w:spacing w:after="0" w:line="27"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microenvironment from immunosuppressive to pro-immune stimulatory following treatment with IMNN-001. An increase in CD8+ to immunosuppressive T-cell populations was a leading indicator and believed to be a good predictor of improved OS; and</w:t>
      </w:r>
    </w:p>
    <w:p>
      <w:pPr>
        <w:spacing w:after="0" w:line="18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showed a treatment-related decrease in the percentage of immunosuppressive</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T-cell (Foxp3+), which was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reported encouraging clinical data from the first 14 patients who completed treatment in the OVATION 1 Study. IMNN-001 plus standard chemotherapy produced no dose-limiting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14 patients treated in the entire study, two patients demonstrated a complete response, 10 patients demonstrated a partial response, and two patients demonstrated stable disease, as measured by Response Evaluation Criteria in Solid Tumors (“RECIST”) criteria. This translated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was used to monitor certain cancers during and after treatment. CA-125 was present in greater concentrations in ovarian cancer cells than in other cells.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26, 2020, the Company announced with Medidata Solutions, a subsidiary of Dassault Systèmes, that examining matched patient data provided by Medidata in a synthetic control arm (“SCA”) with results from the Company’s completed Phase Ib dose-escalating OVATION 1 Study showed positive results in progression-free survival (“PFS”). The hazard ratio (“HR”) was 0.53 in the intent-to-treat (“ITT”) group, showing strong signals of efficacy. In its March 2019 discussion with the Company, the FDA noted that preliminary findings from the Phase Ib OVATION 1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PFS results from the OVATION 1 Study published in the Journal of Clinical Cancer Research. Median PFS in patients treated per protocol (n=14) was 21 months and was 18.4 months for the ITT population (n=18) for all dose cohorts, including three patients who dropped out of the study after 13 days or less, and two patients who did not receive full NACT and IMNN-001 cycles. Under the current standard of care, in women with Stage III/IV ovarian cancer undergoing NACT, their disease progresses within about 12 months on average. The results from the OVATION 1 Study supported continued evaluation of IMNN-001 based on promising tumor response, as reported in the PFS data, and the ability for surgeons to completely remove visible tumors at the time of interval debulking surgery. IMNN-001 was well tolerated, and no dose-limiting toxicities were detected in the OVATION 1 Study. Intraperitoneal administration of IMNN-001 was feasible with broad patient acceptance.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1 Study to determine the next steps forward for our IMNN-001 immunotherapy program. On November 13, 2017, the Company filed its Phase I/II clinical trial protocol with the FDA for IMNN-001 for the localized treatment of ovarian cancer. The protocol was designed with a single dose escalation phase to 100 mg/m² to identify a tolerable dose of IMNN-001 within certain safety parameters while maximizing an immune response. The Phase I portion of the study would be followed by a continuation at the selected dose in approximately 110 patients randomized Phase II study.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would receive IMNN-001 plus chemotherapy pre- and post-interval debulking surgery (“IDS”). The OVATION 2 Study was designed to include up to 110 patients with Stage III/IV ovarian cancer, with 15 patients in the Phase I portion and up to 95 patients in Phase II. The sample size is consistent with a Phase II trial designed to inform the design of a Phase III trial comparing IMNN-001 with neoadjuvant + adjuvant chemotherapy versus neoadjuvant + adjuvant chemotherapy alone. As a Phase II study, the OVATION 2 Study was not powered for statistical significance. The primary endpoint is PFS and the primary analysis would be conducted after at least 80 events had been observed or after all patients had been followed for at least 16 months, whichever was later. Additional endpoints included objective response rate, chemotherapy response score, and surgical response.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was designed to combine IMNN-001, the Company’s IL-12 gene-mediated immunotherapy, with standard-of-care NACT. Following NACT, patients undergo IDS, followed by three additional cycles of chemotherapy.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IMNN-001 plus standard-of-care NACT produced positive dose-dependent efficacy results, with no dose-limiting toxicities, which correlate well with successful surgical outcomes as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IMNN-001 at a dose of 100 mg/m² plus NACT and six patients were treated with NACT only. All 15 patients had successful resections of their tumors, with eight out of nine patients (88%) in the IMNN-001 treatment arm having an R0 resection. Only three out of six patients (50%) in the NACT only treatment arm had a R0 resection.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OVATION 1 Study, a population of patients with inclusion criteria identical to the OVATION 2 Study, the data reflected the strong dose-dependent efficacy of adding IMNN-001 to the current standard of care NACT:</w:t>
      </w:r>
    </w:p>
    <w:p>
      <w:pPr>
        <w:spacing w:after="0" w:line="175" w:lineRule="exact"/>
        <w:rPr>
          <w:rFonts w:ascii="Times New Roman" w:cs="Times New Roman" w:eastAsia="Times New Roman" w:hAnsi="Times New Roman"/>
          <w:sz w:val="18"/>
          <w:szCs w:val="18"/>
          <w:color w:val="auto"/>
        </w:rPr>
      </w:pPr>
    </w:p>
    <w:p>
      <w:pPr>
        <w:ind w:left="9860" w:right="420" w:hanging="249"/>
        <w:spacing w:after="0" w:line="288" w:lineRule="auto"/>
        <w:tabs>
          <w:tab w:leader="none" w:pos="981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Patients R0 Resections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420" w:type="dxa"/>
            <w:vAlign w:val="bottom"/>
            <w:shd w:val="clear" w:color="auto" w:fill="CCEEFF"/>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0"/>
        </w:trPr>
        <w:tc>
          <w:tcPr>
            <w:tcW w:w="4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0, 36, 47 mg/m² of IMNN-001 plus NACT</w:t>
            </w:r>
          </w:p>
        </w:tc>
        <w:tc>
          <w:tcPr>
            <w:tcW w:w="4980" w:type="dxa"/>
            <w:vAlign w:val="bottom"/>
            <w:shd w:val="clear" w:color="auto" w:fill="CCEEFF"/>
          </w:tcPr>
          <w:p>
            <w:pPr>
              <w:ind w:left="3640"/>
              <w:spacing w:after="0" w:line="189" w:lineRule="exact"/>
              <w:rPr>
                <w:sz w:val="20"/>
                <w:szCs w:val="20"/>
                <w:color w:val="auto"/>
              </w:rPr>
            </w:pPr>
            <w:r>
              <w:rPr>
                <w:rFonts w:ascii="Times New Roman" w:cs="Times New Roman" w:eastAsia="Times New Roman" w:hAnsi="Times New Roman"/>
                <w:sz w:val="18"/>
                <w:szCs w:val="18"/>
                <w:color w:val="auto"/>
              </w:rPr>
              <w:t>N =12</w:t>
            </w:r>
          </w:p>
        </w:tc>
        <w:tc>
          <w:tcPr>
            <w:tcW w:w="184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42%</w:t>
            </w: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61, 79, 100 mg/m² of IMNN-001 plus NACT</w:t>
            </w:r>
          </w:p>
        </w:tc>
        <w:tc>
          <w:tcPr>
            <w:tcW w:w="498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N = 17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414"/>
        </w:trPr>
        <w:tc>
          <w:tcPr>
            <w:tcW w:w="4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jc w:val="right"/>
              <w:ind w:right="3650"/>
              <w:spacing w:after="0"/>
              <w:rPr>
                <w:sz w:val="20"/>
                <w:szCs w:val="20"/>
                <w:color w:val="auto"/>
              </w:rPr>
            </w:pPr>
            <w:r>
              <w:rPr>
                <w:rFonts w:ascii="Times New Roman" w:cs="Times New Roman" w:eastAsia="Times New Roman" w:hAnsi="Times New Roman"/>
                <w:sz w:val="18"/>
                <w:szCs w:val="18"/>
                <w:color w:val="auto"/>
              </w:rPr>
              <w:t>5</w:t>
            </w: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RECIST criteria for the 0, 36, 47 mg/m² dose IMNN-001 patients were comparable, as expected, to the higher (61, 79, 100 mg/m²) dose IMNN-001 patients, with both groups demonstrating an approximate 80% ORR.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had recommended that IMNN-001 be designated as an orphan medicinal product for the treatment of ovarian cancer. IMNN-001 previously received orphan designation from the FDA.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the Company announced that it had received Fast Track designation from the FDA for IMNN-001 and also provided an update on the OVATION 2 Study. The Company reported that approximately one-third, or 34 patients, of the anticipated 110 patients had been enrolled into the OVATION 2 Study, of which 20 were in the treatment arm and 14 were in the control. Of the 34 patients enrolled in the trial, 27 patients have had their IDS with the following results:</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IMNN-001 had a R0 resection.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interim data represented a 38% improvement in R0 resection rates for IMNN-001 patients compared with control arm patients and was consistent with the reported improvement in resection scores noted in our Phase I OVATION 1 Study, the manuscript of which was submitted for peer review publication.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 OVATION 2 Study continue treating patients with the dose of 100 mg/m2. The DSMB also determined that safety was satisfactory, with an acceptable risk/benefit, and that patients tolerated IMNN-001 during a course of treatment that would last up to six months. No dose-limiting toxicities were reported at this point in the OVATION 2 Study. Interim clinical data from patients who had undergone IDS showed that the IMNN-001 treatment arm was continuing to show improvement in R0 surgical resection rates and CRS 3 chemotherapy response scores over the control arm. The chemotherapy response score is a three-tier standardized scoring system for histological tumor regression into complete/near complete (CRS 3), partial (CRS 2) and no/minimal (CRS 1) response based on omental examination.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had completed enrollment with 113 patients. In September 2023, the Company announced interim PFS and OS data with IMNN-001 in its Phase I/II OVATION 2 Study. Interim clinical data from the ITT population showed efficacy trends in PFS, demonstrating a delay in disease progression in the treatment arm of approximately 33% compared with the control arm, with the hazard ratio nearing the required value. Preliminary OS data followed a similar trend, showing an approximate 9-month improvement in the treatment arm over the control arm.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Subgroup analyses showed patients treated with a PARP inhibitor (“PARPi”) as maintenance therapy had longer PFS and OS if they were also treated with IMNN-001 compared with patients treated with NACT only. This was not a pre-specified subgroup as PARP inhibitors were approved after the OVATION 2 Study was initiated.</w:t>
      </w:r>
    </w:p>
    <w:p>
      <w:pPr>
        <w:spacing w:after="0" w:line="176"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PFS in the PARPi + NACT group and the PARPi + NACT + IMNN-001 group was 15.7 months and 23.7 months, respectively.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OS in the PARPi + NACT group was 45.6 months and has not yet been reached in the PARPi + NACT + IMNN-001 group.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Imunon also continues to see benefits in other secondary endpoints including an approximately 20% higher R0 tumor resection score and a doubling of the CRS 3 chemotherapy response score to approximately 30% in the treatment arm versus 14% in the control arm. Chemotherapy response score is considered a good prognostic indicator in ovarian cancer. The DSMB determined that safety analyses continue to show good tolerability of IMNN-001 in this setting.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announced database lock for the OVATION 2 Study. At that time, median OS and PFS had been reached, and all patients in the open-label study had achieved treatment observation duration of 16 months, as required by protocol to evaluate efficacy. On July 11, 2024, a scientific advisory board with DSMB members, principal investigators, and scientific experts was held to review efficacy and safety data from the OVATION 2 study.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2024, the Company announced positive topline results from the Phase II OVATION 2 Study. Highlights from patients treated with IMNN-001 plus standard-of-care in a first-line treatment setting include:</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11.1 month increase in median OS compared with standard-of-care alone in the ITT population.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ITT population of 0.74, which indicates a 35% improvement in survival.</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approximately 90% of trial participants who received at least 20% of specified treatments per-protocol in both study arms, patients in the IMNN-001 arm had a 15.7 month increase in median OS, representing a further extension of life with a hazard ratio of 0.64, a 56% improvement in survival.</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nearly 40% of trial participants treated with a PARP inhibitor, the hazard ratio decreased further to 0.41, with median OS in the IMNN-001 treatment arm not yet reached at the time of database lock, compared with median OS of 37.1 months in the standard-of-care treatment arm.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PFS results, the trial’s primary endpoint, support the OS results with:</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three-month improvement in PFS compared with standard-of-care alone.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intent-to-treat population of 0.79, indicating a 27% improvement in delaying progression for the IMNN-001 treatment arm.</w:t>
      </w:r>
    </w:p>
    <w:p>
      <w:pPr>
        <w:spacing w:after="0" w:line="165"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These initial results from the OVATION 2 Study were presented in a late-breaking session at the Society for Immunotherapy of Cancer (SITC) 39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Meeting in November 2024.</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11, 2024, a scientific advisory board was held with DSMB members, principal investigators, and scientific experts to discuss and seek input on the protocol synopsis for the Phase III trial. A protocol synopsis was submitted along with a briefing document for review and input at the End-of-Phase</w:t>
      </w:r>
    </w:p>
    <w:p>
      <w:pPr>
        <w:ind w:firstLine="8"/>
        <w:spacing w:after="0" w:line="260" w:lineRule="auto"/>
        <w:tabs>
          <w:tab w:leader="none" w:pos="1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(“EOP2”) meeting with the U.S. Food and Drug Administration focused on the Phase III study. The EOP2 meeting was conducted in the fourth quarter of 2024.</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outcome of the EOP2 in-person meeting with the U.S. Food and Drug Administration (FDA), supported the advancement of IMNN-001 for the treatment of advanced ovarian cancer into a Phase 3 pivotal study. The interaction with the FDA included an extensive review of data generated to date, including positive results from the recently completed Phase 2 OVATION 2 Study, which assessed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standard-of-care NACT alone in 112 patients with newly diagnosed advanced ovarian cancer. Treatment was also generally well tolerated, with no reports of cytokine release syndrome or any other serious immune-related adverse events.</w:t>
      </w:r>
    </w:p>
    <w:p>
      <w:pPr>
        <w:spacing w:after="0" w:line="20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held a Type C Chemistry, Manufacturing, and Controls (CMC) meeting with the FDA regarding production of IMNN-001 for the treatment of women with newly diagnosed advanced ovarian cancer. The goal of the meeting was to seek alignment and agreement with the FDA on key CMC topics to support IMNN-001 production for the planned Phase 3 pivotal trial and a potential future new biologic license application (BLA) submission. The meeting with the FDA included a review of the Company’s current good manufacturing practice (cGMP) clinical-scale and commercial manufacturing process for IMNN-001, conducted at the company’s manufacturing facility based in Huntsville, Alabama. The Agency agreed that the Company’s potency assay which measures interferon-gamma (IFN-γ) is acceptable for the Phase 3 clinical study and for use in a commercial setting for release of drug product. The FDA also agreed with the Company’s strategy to establish comparability of the core components of IMNN-001 produced by the Company with product previously produced through an external contract development and manufacturing organization.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2024, the Company announced additional clinical data from ongoing analyses of results from the Phase 2 OVATION 2 Study. The updated results, based on an additional seven months of patient monitoring, showed the hazard ratio (HR) decreased from 0.74 to 0.69 in the ITT population, with an increase in median overall survival (OS) from 11.1 to 13 months following treatment with IMNN-001 plus standard-of-care (SoC) neoadjuvant and adjuvant chemotherapy (NACT) versus SoC alone. More than one-third of patients in the trial survived more than 36 months from the point of study enrollment, with 62% of those surviving patients from the IMNN-001 treatment arm and 38% from the SoC arm. Over 10% of trial participants have reached 48 months or beyond.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plans to present full OVATION 2 Study results at an upcoming medical conference and to submit the results for publication in a peer-reviewed medical journal. The Phase 3 trial is anticipated to begin in the first quarter of 2025.</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bevacizumab. </w:t>
      </w:r>
      <w:r>
        <w:rPr>
          <w:rFonts w:ascii="Times New Roman" w:cs="Times New Roman" w:eastAsia="Times New Roman" w:hAnsi="Times New Roman"/>
          <w:sz w:val="18"/>
          <w:szCs w:val="18"/>
          <w:color w:val="auto"/>
        </w:rPr>
        <w:t>In February 2023, the Company and Break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announced the commencement of patient enrollment in a collaboration to evaluate IMNN-001 in combination with bevacizumab in patients with advanced ovarian cancer in the frontline, neoadjuvant clinical setting.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Phase I/II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are being randomized 1:1 in a two-arm trial. In October 2023, the first patient began treatment at University of Texas MD Anderson Cancer Center in the Phase I/II Clinical Trial Evaluating IMNN-001 in Combination with Bevacizumab in Advanced Ovarian Cancer. The trial’s primary endpoint is detection of minimal residual disease (MRD) by second look laparoscopy (SLL), and the secondary endpoint is PFS.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twelve patients were enrolled in the Phase I portion of this study at the University of Texas MD Anderson Cancer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Sloan Kettering Cancer Center and John Hopkins Medicine Sidney Kimmel Cancer Care Center have been added as a clinical site for this study.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MODALITY: IMNN-101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modality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Imunon’s PLACCINE DNA vaccine modality is characterized by a single mono-cistronic or multi-cistronic DNA plasmid vector expressing single or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consider certain pathogens BARDA has identified as the most urgent and the most important.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development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4°C to 25°C, making vaccines developed on this platform easily suitable for broad world-wide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have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the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980" w:right="20" w:hanging="324"/>
        <w:spacing w:after="0" w:line="28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plasmid vector.</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viral antigens.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viruses or special equipment to deliver its payload.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demonstrated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the initiation of a nonhuman primate (“NHP”) challenge study with Imunon’s DNA-based approach for a SARS-CoV-2 vaccine. The NHP pilot study followed the generation of encouraging mouse data and will evaluate the Company’s lead vaccine formulations for safety, immunogenicity and protection against SARS-CoV-2. In completed preclinical studies, Imunon demonstrated a favorable safety profile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The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highlighted the Company’s technology platform.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PLACCINE has demonstrated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six months.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now completed proof-of-concept (“PoC”) mouse challenge study confirmed that a PLACCINE DNA-based vaccine can produce robust levels of IgG, neutralizing antibodies, and T-cell responses. The data demonstrated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have a favorable safety profile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the Company reported partial results from an ongoing non-human primate study designed to examine the immunogenicity of its proprietary PLACCINE vaccine which supported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NHP study involving three vaccine-treated non-human primates. The final data were consistent with the earlier data and showed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 recent mouse study, a single dose of PLACCINE vaccine without a booster dose produced longer duration of IgG responses and higher T-cell activation than an mRNA vaccine. A 12-month PLACCINE stability study demonstrated continued drug stability at 4° C (standard refrigerated temperature). These compelling data were presented at the Vaccine Technology Summit 2023 in Boston in March 2023. They showed robust immunogenicity and protection in SARS-CoV-2 models, durable cellular or humoral responses detectable for more than 12 months, comparable protection activity to a commercial mRNA vaccine in a booster-dose comparison and superior immune quality versus the mRNA vaccine in a single-dose comparison.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2023, the Company filed with the FDA a pre-IND package in advance of beginning human testing of a SARS-CoV-2 seasonal booster vaccine. In July 2023, the FDA confirmed in a written response our plug and play strategy agreeing that a platform approach to pre-clinical toxicology testing with reference to updated SARS-CoV-2 genes that align with current variant of concern may be used without additional need for toxicology studies. This demonstrated the flexibility and versatility of our platform, which allows for the rapid production and development of any vaccine by simply changing the antigen coding cassette.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18, 2024, the Company announced that it received clearance from the FDA to begin a Phase I clinical trial with a seasonal COVID-19 booster vaccine. The Company filed an Investigational New Drug (IND) application for IMNN-101 in late February. The primary objectives of the Phase I study are to evaluate safety, tolerability, neutralizing antibody response, and the vaccine’s durability (duration of immunogenicity) in healthy adults. Secondary objectives of the study include evaluating the ability of the IMNN-101 vaccine to elicit binding antibodies and cellular responses and their associated durability. The Phase I study enrolled 24 subjects to evaluate three escalating doses of IMNN-101. For this study, IMMN-101 has been designed to protect against the SARS-CoV-2 Omicron XBB1.5 variant, in accordance with the FDA’s Vaccines and Related Biological Products Advisory Committee’s June 2023 announcement of the framework for updated COVID-19 doses. Based on these results, we will advance discussions with potential partners to continue development of the platform.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the Company announced that DM Clinical Research in Philadelphia was the first clinical site activated for patient recruitment for its Phase I study with IMNN-101 in a seasonal COVID-19 vaccine. DM Clinical Research is an integrated national network of clinical trial sites focused on delivering advanced, preventive medicine to underserved communities. As of September 2024, all 24 Phase I participants were inoculated with IMNN-101 at DM Clinical Research. Topline safety and immunogenicity data are anticipated in the first half of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Phase I trial is designed to establish PoC for IMNN-101 as an advancement in vaccine technology. At the conclusion of this trial, Imunon intends to seek partnership and/or business development opportunities to develop the scientific and business case for IMNN-101 as a future vaccine to address viral mutations.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AND DEVELOPMENT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$5.9 million in cash and cash equivalents to fund its operations. The Company’s primary sources of cash have been proceeds from the issuance and sale of its common stock, including via its at-the-market (“ATM”) program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2024, includes an explanatory paragraph which expresses substantial doubt about our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outside investors via its ATM program and other potential funding sources.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risks and uncertainties discussed in this Annual Report, among others, we are unable to estimate the duration and completion costs of our research and development projects or when, if ever, and to what extent we will receive cash inflows from the commercialization and sale of a product if one of our drug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progress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Part II, Item 7 - Management’s Discussion and Analysis of Financial Condition and Results of Operations</w:t>
      </w:r>
      <w:r>
        <w:rPr>
          <w:rFonts w:ascii="Times New Roman" w:cs="Times New Roman" w:eastAsia="Times New Roman" w:hAnsi="Times New Roman"/>
          <w:sz w:val="18"/>
          <w:szCs w:val="18"/>
          <w:color w:val="auto"/>
        </w:rPr>
        <w:t xml:space="preserve"> of this Annual Report for additional information regarding the Company’s financial condition, liquidity and capital resources.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EXPENDITURES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engaged in a limited amount of research and development in our own facilities and have sponsored research programs in partnership with various research institutions, including the NIH and the Wistar Institute. The majority of the spending in research and development is for the funding of IMNN-001 clinical trials and, to a lesser extent, our next generation vaccine initiative. Research and development expenses were approximately $11.6 million and $11.3 million for the years ended December 31, 2024 and 2023, respectively.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Part II, Item 7 - Management’s Discussion and Analysis of Financial Condition and Results of Operations</w:t>
      </w:r>
      <w:r>
        <w:rPr>
          <w:rFonts w:ascii="Times New Roman" w:cs="Times New Roman" w:eastAsia="Times New Roman" w:hAnsi="Times New Roman"/>
          <w:sz w:val="18"/>
          <w:szCs w:val="18"/>
          <w:color w:val="auto"/>
        </w:rPr>
        <w:t xml:space="preserve"> of this Annual Report for additional information regarding expenditures related to our research and development programs.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in the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U.S., the FDA regulates drugs and biological products under the Federal Food, Drug, and Cosmetic Act (the “FDCA”), the Public Health Service Act (the “PHSA”)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vehicle by which FDA approves a new pharmaceutical product or a biologic product for sale and marketing in the U.S. is a New Drug Application (“NDA”) or a Biologics License Application (“BLA”). A new drug or biological product cannot be marketed in the U.S. without FDA’s approval of an NDA/BLA. The steps ordinarily required before a new drug can be marketed in the U.S. include (a) completion of pre-clinical and clinical studies; (b) submission of an IND, which must become effective before human clinical trials may commence; (c) completion of adequate and well-controlled human clinical trials to establish the safety and efficacy of the product to support each of its proposed indications; (d) submission and FDA acceptance of an NDA/BLA; (e) completion of an FDA inspection and potential audits of the facilities where the drug or biological product is manufactured to assess compliance with current Good Manufacturing Practice (“cGMP”) and to assure adequate identity, strength, quality, purity, and potency; and (e) FDA review and approval of the NDA/BLA.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Pre-clinical tests include laboratory evaluations of product chemistry, toxicity, formulation and stability, as well as animal studies, to assess the potential safety and efficacy of the product. Pre-clinical safety tests that support or are intended to support an IND or NDA/BLA must be conducted by laboratories that comply with FDA regulations regarding good laboratory practice. The results of pre-clinical tests are submitted to the FDA as part of an IND for review before the commencement of human clinical trials. The absence of FDA objection to an IND does not necessarily mean that the FDA will ultimately approve an NDA/BLA or that a drug candidate otherwise will come to market.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a qualified principal investigator. Clinical trials must be conducted in accordance with good clinical practices under protocols submitted to the FDA as part of an IND and with informed consent from the patient. Also, each clinical trial must be approved by an Institutional Review Board (“IRB”) and is subject to ongoing IRB monitoring.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but the phases may overlap or be combined. Phase I clinical trials may be conducted in patients or healthy volunteers to evaluate the product’s safety, dosage tolerance and pharmacokinetics and, if possible, seek to gain an early indication of its effectiveness. Phase II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 Phase III clinical trials are typically conducted in a significantly larger patient population and are intended to further evaluate safety and efficacy, establish the overall risk-benefit profile of the product, and provide an adequate basis for physician labeling.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limited circumstances when a patient has a serious or immediately life-threatening disease or condition and certain other conditions apply, a therapeutic drug candidate being studied in clinical trials may be made available for treatment of individual patients. Pursuant to the 21st Century Cures Act, the manufacturer of an investigational product for a serious disease or condition is required to make available, such as by posting on its website, its policy on evaluating and responding to requests for individual patient access to such investigational product.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of our clinical trials will be completed successfully within any specified time period or at all. We may suspend clinical trials at any time, or the FDA or IRB may suspend clinical trials at any time on various grounds, including among other things, if we, the FDA, our independent DMC, or the IRB conclude that clinical subjects are being exposed to an unacceptable health risk.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conduct of clinical trials is complex and difficult, and there can be no assurance that the design or the performance of the clinical trial protocols of any of our current or future drug candidates will be successful.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if successful, are submitted to FDA in the form of an NDA or BLA. Among other things, the FDA reviews an NDA to determine whether the product is safe and effective for its intended use and reviews a BLA to determine whether the product is safe, pure, and potent, and in each case, whether the drug candidate is being manufactured in accordance with cGMP. The testing, submission, and approval process requires substantial time, effort, and financial resources, including substantial application user fees and annual program user fees. There can be no assurance that any approval will be granted for any product at any time, according to any schedule, or at all. The FDA may refuse to accept or approve an application if it determines those applicable regulatory criteria are not satisfied. The FDA may also require additional testing for safety and efficacy. Even if regulatory approval is granted, the approval will be limited to specific indications. There can be no assurance that any of our current drug candidates will receive regulatory approvals for marketing or, if approved, that approval will be for any or all of the indications that we request.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has agreed to certain performance goals in the review of NDAs and BLAs. The FDA has 60 days from its receipt of an NDA or BLA to determine whether the application will be accepted for filing based on the agency’s threshold determination that it is sufficiently complete to permit substantive review. Once the NDA/BLA is accepted for filing, the FDA seeks to complete its review of most standard review applications within ten months of the date of acceptance for filing of an original BLA or an NDA for a new molecular entity; FDA seeks to complete its review of most priority review applications for such an NDA or BLA within six months of the date or acceptance for filing. Priority review is applied to a drug candidate that the FDA determines has the potential to treat a serious or life-threatening condition and, if approved, would provide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FDA Regulations Specific to Gene Therapy Products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regulates gene therapy products, including vaccines based on gene-therapy technologies, as biological products. While biological products intended for therapeutic use may be regulated by either the Center for Biologics Evaluation and Research (“CBER”) or the Center for Drug Evaluation and Research (“CDER”), gene-therapy products and vaccines are regulated by CBER. Biological products are subject to extensive regulation under the FDCA, the PHSA, and implementing regulations. Each clinical trial of an investigational gene therapy must be reviewed and approved by the Institutional Biosafety Committee (“IBC”) for each clinical site if they receive any funding whatsoever from the NIH. IBCs were established under NIH Guidelines for Research Involving Recombinant or Synthetic Nucleic Acid Molecules (“NIH Guidelines”) to provide local review and oversight of nearly all forms of research utilizing recombinant or synthetic nucleic acid molecules. An IBC assesses biosafety issues, specifically, safety practices and containment procedures, related to research involving recombinant or synthetic nucleic acid molecules. While compliance with the NIH Guidelines is only mandatory for investigators at institutions receiving NIH funds for research involving recombinant or synthetic nucleic acid molecules, many companies and other institutions not otherwise subject to the NIH Guidelines voluntarily follow them. Clinical trials subject to IBC oversight nonetheless remain subject other applicable oversight, including by to FDA and IRBs, and only after the applicable submissions, authorizations, or approvals are in place with regulatory authorities can the clinical trials proceed.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Controls for Biological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or other components of HHS to immediately suspend licenses in situations where there exists a danger to public health, to prepare or procure products in the event of shortages and critical public health needs, and create and enforce regulations to prevent the introduction or spread of communicable diseases in the U.S. and between states.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a BLA is approved, the biological product may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products to the FDA together with a release protocol showing the results of the manufacturer’s tests performed on the lot. The FDA may also perform certain confirmatory tests on lots of some products, such as viral vaccines, before releasing the lots for distribution by the manufacturer.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FDA conducts laboratory research related to the regulatory standards on the safety, purity, potency, and effectiveness of biological products. As with drugs, after approval of biological products, manufacturers must address any safety issues that arise, are subject to recalls or a halt in manufacturing, and are subject to periodic inspection after approval.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has various programs, including Fast Track, priority review, accelerated approval and breakthrough therapy, which are intended to facilitate and expedite the development and review of certain drug candidates, or provide for the approval of a drug candidate on the basis of a surrogate or intermediate endpoint. In January 2021, the FDA granted Fast Track designation for IMNN-001 for the treatment of ovarian cancer.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a drug candidate qualifies for one or more of these programs, the FDA may later decide that the drug candidate no longer meets the conditions for qualification or that the time period for FDA review or approval will be lengthened. Generally, drug candidates that are eligible for these programs are those for serious or life-threatening conditions, those with the potential to address unmet medical needs and those that offer significant benefits over existing treatments. For example, Fast Track is a program designed to facilitate the development and expedite the review of drug candidates that are intended to treat serious or life-threatening diseases or conditions and demonstrate the potential to address unmet medical needs.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Fast Track and priority review do not alter the standards for approval, the FDA will attempt to provide opportunities for frequent meetings with a sponsor of a Fast Track-designated drug candidate and expedite review of the application for a drug candidate designated for priority review. Accelerated approval is available for a new drug candidate that meets the following criteria: it is intended to treat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 surrogate endpoint is a laboratory measurement, physical sign or other measure that is thought to predict clinical benefit but is not itself a measure of clinical benefit. As a condition of approval, the FDA may require that a sponsor of a drug candidate receiving accelerated approval perform post-marketing clinical trials to verify and describe the predicted effect on irreversible morbidity or mortality or other clinical benefit, and the drug may be subject to expedited withdrawal procedures if the sponsor fails to conduct a required post-marketing study with due diligence, a required post-marketing study fails to verify and describe the predicted effect on IMM or other clinical benefit, other evidence demonstrates that the product is not shown to be safe or effective, or the sponsor disseminates false or misleading promotional materials with respect to the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A sponsor may seek FDA designation of a drug candidate as a “breakthrough therapy” if the drug candidate is intended, alone or in combination with one or more other therapeutics, to treat a serious or life-threatening disease or condition, and preliminary clinical evidence indicates that the drug candidate may demonstrate substantial improvement over existing therapies on one or more clinically significant endpoints, such as substantial treatment effects observed early in clinical development. A request for breakthrough therapy designation should be submitted concurrently with, or as an amendment to, an IND, but ideally no later than the end-of-Phase II meeting. If a drug receives breakthrough therapy designation, FDA will seek to ensure that the sponsor receives timely advice and interactive communications to help the sponsor design and conduct a drug development program as efficiently as possible. Additionally, FDA seeks to involve senior managers and experienced staff in the review of a breakthrough therapy-designated product. FDA may consider reviewing parts of an NDA or BLA for a breakthrough therapy-designated product on a rolling basis before the sponsor submits the complete application. Fast Track and breakthrough therapy designations may be rescinded if the drug candidate no longer meets the designation criteria. Fast Track designation, priority review, accelerated approval, and breakthrough therapy designation do not change the standards for approval, but depending on the type of designation, may expedite the development or approval process.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Sponsors of clinical trials of FDA-regulated products are required to register and disclose certain clinical trial information to the NIH. Information related to the product, patient population, phase of investigation, trial sites and investigators, and other aspects of the clinical trial is then made public as part of the registration. Sponsors are also obligated to disclose the results of their clinical trials within one year of completion, although disclosure of the results of these trials can be delayed in certain circumstances for up to two additional years. Competitors may use this publicly available information to gain knowledge regarding the progress of development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2005, the FDA granted orphan drug designation for IMNN-001 for the treatment of ovarian cancer. Orphan drug designation does not convey any advantage in, or shorten the duration of, the regulatory review and approval process. However, if a product which has an orphan drug designation subsequently receives the first FDA approval for a drug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consent by the holder of orphan drug exclusivity to the approval of another application before the expiration of such exclusivity, or a finding by the FDA that the holder of exclusivity cannot ensure the availability of sufficient quantities of the drug to meet the needs of persons with the designated disease or condition. Orphan drug designation can also provide opportunities for grant funding towards clinical trial costs, tax advantages and a potential exemption from certain FDA user fees.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2021, the U.S. Court of Appeals for the Eleventh Circuit held in </w:t>
      </w:r>
      <w:r>
        <w:rPr>
          <w:rFonts w:ascii="Times New Roman" w:cs="Times New Roman" w:eastAsia="Times New Roman" w:hAnsi="Times New Roman"/>
          <w:sz w:val="18"/>
          <w:szCs w:val="18"/>
          <w:i w:val="1"/>
          <w:iCs w:val="1"/>
          <w:color w:val="auto"/>
        </w:rPr>
        <w:t>Catalyst Pharmaceuticals, Inc. v. Becerra</w:t>
      </w:r>
      <w:r>
        <w:rPr>
          <w:rFonts w:ascii="Times New Roman" w:cs="Times New Roman" w:eastAsia="Times New Roman" w:hAnsi="Times New Roman"/>
          <w:sz w:val="18"/>
          <w:szCs w:val="18"/>
          <w:color w:val="auto"/>
        </w:rPr>
        <w:t xml:space="preserve"> that the FDA had erred by limiting the scope of orphan drug exclusivity for FIRDAPSE® (amifampridine) to the product’s approved indication, an action that the FDA took in accordance with its regulations interpreting the Orphan Drug Act. The court held that under the Orphan Drug Act, FIRDAPSE®’s orphan drug exclusivity instead protected the rare disease or condition that received orphan drug designation. Following this court decision in the Catalyst case, the FDA announced in January 2023 that it would continue to apply the FDA’s regulations limiting the scope of orphan drug exclusivity to a product’s approved uses or indications. As a result of the FDA’s announcement, the scope of orphan drug exclusivity and other issues relating to the FDA’s implementation of the Orphan Drug Act with respect to previously approved and future products may be the subject of further litigation or legislation.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Exclusivity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FDCA provides a five-year period of non-patent data exclusivity within the U.S. upon the approval of an NDA for a drug, no active moiety (as defined in FDA’s regulations) of which previously has been approved in an NDA. During the exclusivity period, the FDA generally may not accept for review an abbreviated new drug application (ANDA) or a 505(b)(2) NDA submitted by another company for a drug product containing the same active moiety, except that such applications may be submitted starting four years after approval of the product protected by exclusivity if they contain a certification of patent invalidity, non-infringement or unenforceability.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Biosimilars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created an abbreviated approval pathway for biological drug candidates that are biosimilar to or interchangeable with an FDA-licensed reference product. The FDA may approve a biosimilar product if it finds, among other requirements, that the product is highly similar to the reference product notwithstanding minor differences in clinically inactive components and there are no clinically meaningful differences between the proposed biosimilar product and the reference product in terms of safety, purity, and potency; the proposed conditions of use have been previously approved for the reference product; and the route of administration, dosage form, and strength of the proposed biosimilar product are the same as those of the reference product. Biosimilarity must be shown through analytical studies, an assessment of toxicity, and a clinical trial or trials, unless the FDA waives a required element. A biosimilar drug candidate may be deemed interchangeable with a prior approved product if it meets the higher hurdle of demonstrating that it not only is biosimilar to the reference product, but also can be expected to produce the same clinical results as the reference product in any given patient, and, for products administered multiple times, alternating or switching between the biological product and the reference product will not increase safety risks or risks of diminished efficacy relative to exclusive use of the reference product.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will not accept a biosimilar application until four years after the date of first licensure of a biological product licensed under section 351(a) of the PHSA, and the FDA will not approve a biosimilar application until 12 years after such date of first licensure. The first biological drug candidate submitted under the abbreviated approval pathway that is determined to be interchangeable with the reference product has exclusivity against a finding by the FDA of interchangeability for other biological products with respect to the same reference product for the lesser of (i) one year after first commercial marketing of the first interchangeable biosimilar, (ii) 18 months after the first interchangeable biosimilar is approved if there is no patent challenge brought under section 351(l)(6) of the PHSA, (iii) 18 months after resolution of a lawsuit brought under section 351(l)(6) of the PHSA over the patents of the reference product, or (iv) 42 months after the first interchangeable biosimilar’s application has been approved if a patent lawsuit brought under section 351(l)(6) of the PHSA is ongoing within the 42-month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FDA approval of a product is obtained, we and our contract manufacturers are required to comply with various post-approval requirements, including establishment registration and product listing, record-keeping requirements, reporting of adverse reactions and production problems to the FDA, providing updated safety and efficacy information for drugs, or safety, purity, and potency for biological products, and complying with requirements concerning advertising and promotional labeling. As a condition of approval of an NDA/BLA, the FDA may require the applicant to conduct additional clinical trials or other post market testing and surveillance to further monitor and assess the drug’s safety and efficacy. The FDA can also impose other post-marketing controls on us as well as our products including, but not limited to, restrictions on sale and use, through the approval process, regulations and otherwise. The FDA also has the authority to require the recall of our biological products or request a recall of our drug or biological products in the event of material deficiencies or defects in manufacture. A governmentally mandated or requested recall, or a voluntary recall by us, could result from a number of events or factors, including component failures, manufacturing errors, instability of product or defects in labeling.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manufacturing establishments in the U.S. and abroad are subject to periodic inspections by the FDA and must comply with cGMP. To maintain compliance with cGMP, manufacturers must expend funds, time and effort in the areas of production and quality control. The manufacturing process must be capable of consistently producing quality batches of the drug candidate and the manufacturer must develop methods for testing the quality, purity and potency of the drug candidate. Additionally, appropriate packaging must be selected and tested, and stability studies must be conducted to demonstrate that the drug candidate does not undergo unacceptable deterioration over its proposed shelf-life.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Clinical Studies to Support an IND, NDA, or BLA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will accept as support for an IND, NDA, or BLA a well-designed, well-conducted, non-IND foreign clinical trial if it was conducted in accordance with good clinical practice (“GCP”) and the FDA is able to validate the data from the trial through an on-site inspection, if necessary. A sponsor or applicant who wishes to rely on a non-IND foreign clinical trial to support an IND must submit supporting information to the FDA to demonstrate that the trial conformed to GCP.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Legislation and Regulations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once approved. It is impossible to predict whether further legislative changes will be enacted or whether FDA regulations, guidance, policies or interpretations will be changed or what the effect of such changes, if any, may be.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drug candidates following product approval, where applicable, or commercialization are also subject to regulation by numerous regulatory authorities in the U.S. in addition to the FDA, which may include the Centers for Medicare &amp; Medicaid Services (“CMS”), other divisions of the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FDA regulations prohibit the promotion of an investigational product for unapproved use. The FDA distinguishes impermissible promotion of an investigational product from the permissible exchange of scientific and medical information among healthcare professionals under certain conditions, which may include company-sponsored scientific and educational activities. The FDA has issued Warning Letters and untitled letters to sponsors and clinical investigators who have claimed, directly or indirectly, that an investigational product is safe and effective for its intended use.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 candidates for which we obtain marketing approval. In the U.S., these laws include, without limitation, state and federal anti-kickback, false claims, physician transparency, and patient data privacy and security laws and regulations, including but not limited to those described below.</w:t>
      </w:r>
    </w:p>
    <w:p>
      <w:pPr>
        <w:spacing w:after="0" w:line="187" w:lineRule="exact"/>
        <w:rPr>
          <w:sz w:val="20"/>
          <w:szCs w:val="20"/>
          <w:color w:val="auto"/>
        </w:rPr>
      </w:pPr>
    </w:p>
    <w:p>
      <w:pPr>
        <w:jc w:val="both"/>
        <w:ind w:left="340" w:hanging="332"/>
        <w:spacing w:after="0" w:line="254"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significant civil and criminal fines and penalties for each violation,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 (“FCA”).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left="340" w:hanging="332"/>
        <w:spacing w:after="0" w:line="254"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Patient Protection and Affordable Care Act, as amended by the Health Care and Education Reconciliation Act of 2010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physicians and their immediate family members. In addition, many states also require reporting of payments or other transfers of value, many of which differ from each other in significant ways and are often not pre-empted, thus further complicating compliance efforts. Effective January 1, 2022, these reporting obligations extended to include transfers of value made in the previous year to certain non-physician providers such as physician assistants and nurse practitioners.</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broadly regulate marketplace activities and activities that potentially harm consumers.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 may be broader in scope than their federal equivalents;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and restrict marketing practices or require disclosure of marketing expenditures and pricing information; and state and foreign laws that govern the privacy and security of health information in some circumstances. These data privacy and security laws may differ from each other in significant ways and often are not pre-empted by HIPAA, which may complicate compliance efforts.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be not in compliance with applicable laws, they may be subject to similar actions, penalties and sanctions. Ensuring business arrangements comply with applicable healthcare laws, as well as responding to possible investigations by government authorities, can be time-and resource-consuming, including requiring significant capital allocations, and can divert a company’s attention from its business.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U.S., the collection and use of personal data is increasingly subject to various federal and state privacy and data security laws and regulations, including oversight by various regulatory and other governmental bodies. Those laws and regulations continue to evolve and are increasingly being enforced vigorously by both governmental and private causes of action. For example, following the enactment of the California Consumer Privacy Act of 2018, which was subsequently amended by the Consumer Privacy Rights Act of 2020, other states have established a broad range of privacy obligations for businesses, including robust notice and the right to opt-out from the selling or sharing of personal information, access, correction, portability, deletion, and related obligations. While many of these statutes specifically exempt protected health information that is subject to HIPAA and clinical trial regulations, these statutes have marked the beginning of a trend towards a more stringent state privacy legislative regime in the U.S., which could increase our potential liability and adversely affect our business both from a financial and reputational perspective.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 and Reimbursement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and markets in other countries, patients who are prescribed treatments for their conditions and providers performing the prescribed services generally rely on third-party payors to reimburse all or part of the associated healthcare costs. Thus, even if a drug candidate is approved, sales of the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In the U.S.,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drug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ensure that other payors will also provide coverage and reimbursement for the product, and the level of coverage and reimbursement can differ significantly from payor to payor.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federal level, for example, the Inflation Reduction Act of 2022 (the “IRA”) was signed into law. Key provisions of the IRA include the following, among others: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requires manufacturers to pay rebates for Medicare Part B and Part D drugs where price increases exceed inflation.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delays the rebate rule that would require pass through of pharmacy benefit manager rebates to beneficiaries.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directs CMS to engage in price-capped negotiation for certain Medicare Part B and Part D products. Specifically, the IRA’s Price Negotiation Program applies to high-expenditure single-source drugs and biologics that have been approved for at least 7 or 11 years, respectively, among other negotiation selection criteria, beginning with ten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Manufacturers that fail to comply with the IRA may be subject to various penalties, including civil monetary penalties or a potential excise tax. The IRA permits the Secretary of HHS to implement many of the IRA’s provisions through guidance, as opposed to regulation, for the initial years. The effect of the IRA is anticipated to have significant effects on the pharmaceutical industry and may reduce the prices pharmaceutical manufacturers can charge and reimbursement pharmaceutical manufacturers can receive for approved products, among other effects.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implementation of the IRA and other state and federal healthcare reform measures may be adopted in the future, any of which may result in additional reductions in Medicare and other healthcare funding and otherwise affect the prices we may obtain for any drug candidates for which we may obtain regulatory approval or the frequency with which any such drug candidate is prescribed or used.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U.S., ensuring coverage and adequate payment for a product also involves challenges, as the pricing of biological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biological products will likely continue as countries attempt to manage healthcare expenditures.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Current and Future Healthcare Reform Legislation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on May 30, 2018, the Right to Try Act was signed into law. The law, among other things, provides a federal framework for certain patients to access certain IND products that have completed a Phase I clinical trial and that are undergoing investigation for FDA approval or for which a marketing application has been submitted to the FDA. Under certain circumstances, eligible patients can request access to such an investigational drug product for treatment use without enrolling in clinical trials and without obtaining FDA permission under the FDA expanded access regulations. There is no obligation for a drug manufacturer to make its drug products available to eligible patients as a result of the Right to Try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20, 2020, HHS Office of the Inspector General finalized a regulation with the goal of lowering prescription drug prices and out-of-pocket spending for prescription drugs. Specifically, the final rule clarified and amended the discount safe harbor under the federal Anti-Kickback Statute with the effect that rebates paid from drug manufacturers to Medicare Part D prescription drug plan sponsors, or their pharmacy benefit managers (“PBMs”) would be excluded from liability protection under the discount safe harbor. The rule also added a new safe harbor for point-of-sale reductions in price and another that protects certain fixed-fee service arrangements between PBMs and drug manufacturers.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Congress has indicated that it will continue to seek new legislative and/or administrative measures to control drug costs. Any reduction in reimbursement from Medicare and other government programs may result in a similar reduction in payments from private payers. Moreover, 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Outside of the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a variety of regulations of other countries governing, among other things, any clinical trials and commercial sales and distribution of our drug candidates. Whether or not we obtain FDA approval (clinical trial or marketing) for a product, we must obtain the requisite approvals from regulatory authorities in countries outside of the U.S., such as the EU and China, prior to the commencement of clinical trials or marketing of the products in those countries. The approval process and requirements governing the conduct of clinical trials, product licensing, pricing and reimbursement vary greatly from place to place, and the time may be longer or shorter than that required for FDA approval.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before starting a clinical trial, it must be authorized by the competent authority of each EU Member State in which the sponsor plans to conduct the clinical trial. Under the new EU Clinical Trials Regulation (EU) 536/2014, which took effect on 31 January 2022, the sponsor must submit an application dossier to the relevant EU Member States through a central portal, known as the Clinical Trial Information System (CTIS). Part I of the application contains the scientific aspects of the trial, including manufacturing, pre-clinical and clinical data on the product. Part II of the application contains the ethical aspects of the trial. A single reporting Member State assesses Part I and reaches a decision in consultation with the other concerned Member States. Each Member State assesses Part II of the application through its own national ethics committee procedure and reaches its own decision. Clinical trials conducted in the EU (or used for marketing authorization application in the EU) must be conducted in accordance with applicable standards of GCP, including the ICH GCP guidelines. The investigational medicinal products used in clinical trials in the EU must have been manufactured in accordance with EU standards of good manufacturing practice (“GMP”).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As in the U.S., no medicinal product may be placed on the EU market unless a marketing authorization has been issued. In the EU, medicinal products may be authorized under the centralized procedure administered by the EMA or one of the procedures administered by competent authorities in the individual EU Member States (decentralized procedure, mutual recognition procedure, or if the product is to be approved in only one member state, the national procedure). The centralized procedure provides for the grant of a single marketing authorization by the European Commission that is valid for all EU Member States. The centralized procedure is compulsory for specific products, including medicines produced by certain biotechnological processes, products designated as orphan medicinal products, advanced therapy medicinal products and products with a new active substance indicated for the treatment of certain diseases, including products for the treatment of cancer and products for the treatment of infectious diseases. For products with a new active substance indicated for the treatment of other diseases and products that are highly innovative or for which a centralized process is in the interest of patients, the centralized procedure is optional.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centralized procedure in the EU, marketing authorization applications are submitted to the EMA, where they are reviewed by relevant scientific committees, including the Committee for Medicinal Products for Human Use (“CHMP”). The EMA will forward the final CHMP opinion to the European Commission, to use as the basis for deciding whether to grant a marketing authorization. The maximum timeframe for the evaluation of a marketing authorization application by the CHMP is 210 days. However, this timeline excludes clock stops, when additional written or oral information is to be provided by the applicant in response to questions asked by the CHMP, so the overall process typically takes a year or more. Accelerated evaluation might be granted by the CHMP in exceptional cases, when a medicinal product is expected to be of a major interest for public health and therapeutic intervention, defined by the absence or insufficiency of an appropriate alternative therapeutic approach for the disease to be treated and anticipation of high therapeutic benefit of the new product. In this circumstance, the EMA ensures that the opinion of the CHMP is given within 150 days.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Marketing authorization applications for generic of biosimilar medicinal products do not need to include the results of pre-clinical studies and clinical trials, but instead can refer to the data included in the marketing authorization of a reference product for which regulatory data exclusivity has expired. If a marketing authorization is granted for a medicinal product containing a new active substance, that product benefits from eight years of data exclusivity, during which generic or biosimilar applications referring to the data of that product will not be accepted by the regulatory authorities, and a further two years of market exclusivity, during which such generic or biosimilar products may not be placed on the market. The two-year market exclusivity period may be extended to three years if during the first eight years of the product’s authorization, a new therapeutic indication with significant clinical benefit over existing therapies is approved.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a medicinal product may be designated as an orphan medicinal product if the sponsor can establish that it is intended for the diagnosis, prevention or treatment of a life-threatening or chronically debilitating condition affecting not more than five in 10 thousand persons in the EU, or that, for the same purposes, it is unlikely that the marketing of the medicinal product would generate sufficient return in the EU to justify the necessary investment; and in either case that there exists no satisfactory method of diagnosis, prevention or treatment of the condition in question that has been authorized in the EU or, if such method exists, that the medicinal product will be of significant benefit to those affected by that condition. Orphan medicinal product designation entitles the sponsor to financial incentives such as reduction of fees or fee waivers and ten years of market exclusivity is granted following marketing authorization for the orphan indication. During this period, the competent authorities may not accept or approve any similar medicinal product for the same therapeutic indication, unless (i) the second medicinal product is safer, more effective or otherwise clinically superior to the authorized orphan product; (ii) the marketing authorization holder for the authorized product consents to a second orphan medicinal product application; or (iii) the marketing authorization holder for the authorized product cannot supply enough orphan medicinal product. This period may be reduced to six years if the orphan medicinal product designation criteria are no longer met, including where it is shown that the product is sufficiently profitable not to justify maintenance of orphan designation.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EU, the requirements for pricing, coverage and reimbursement of any drug candidates for which we obtain regulatory approval are provided for by the national laws of EU Member States. Governments influence the price of pharmaceutical products through their pricing and reimbursement rules and control of national health care systems that fund a large part of the cost of those products to consumers. The downward pressure on healthcare costs in general, particularly prescription medicines, has become very intense. As a result, increasingly high barriers are being erected to the entry of new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currently operates a current good manufacturing practice (cGMP) clinical-scale manufacturing facility for IMNN-001 based in Huntsville, Alabama. We do not currently own or operate manufacturing facilities for the final fill/finish production of clinical or commercial quantities of any of our drug candidates. We contract with third-party contract manufacturing organizations (“CMOs”) for our clinical trial supplies, and we expect to continue to do so to meet our clinical requirements of our drug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Manufacturing is subject to extensive regulations that impose various procedural and documentation requirements, which govern record keeping, manufacturing processes and controls, personnel, quality control and quality assurance, among others. Medical product manufacturers and other entities involved in the manufacture and distribution of approved drug or biologic products are required to register their establishments with the FDA and certain state agencies and are subject to periodic unannounced inspections by the FDA and certain state agencies for compliance with cGMP and other laws. cGMP is a regulatory standard for the production of pharmaceuticals that will be used in humans which is recognized by FDA and many foreign regulatory authorities. Accordingly, manufacturers must continue to expend time, money, and effort in the area of production and quality control to maintain GMP compliance. We use CMOs which manufacture our drug candidates under cGMP conditions.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The FDA has the authority to take a variety of actions to address violations, including suspending the review of a pending application; refusing to approve or withdrawing approval of a marketing application; placing a study on clinical hold; issuing warning or untitled letters; ordering or requesting a product recall; seizing product in distribution; seeking an injunction to stop manufacture and distribution of a product; seeking restitution, disgorgement of profits, and fines; and debarring a company and its executives individually from participation in any capacity in the drug approval process. In addition, the U.S. Department of Justice has the authority to criminally prosecute companies and company executives for violations of the FDCA and the PHSA.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focus is on the development of our existing portfolio, the completion of clinical trials and, if and where appropriate, the registration of our drug candidates. We currently do not have marketing, sales and distribution capabilities. If we receive marketing and commercialization approval for any of our drug candidates, we intend to market the product either directly or through strategic alliances and distribution agreements with third parties. The ultimate implementation of our strategy for realizing the financial value of our drug candidates is dependent on the results of clinical trials for our drug candidates, the availability of regulatory approvals and the ability to negotiate acceptable commercial terms with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AND 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in the discovery and development of new methods for treating and preventing disease is intense. We face, and will continue to face,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drug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Most of our competitors, either alone or together with their collaborative partners, have substantially greater financial resources and larger research and development staff than we do. In addition, most of these organizations, either alone or together with their collaborators, have significantly greater experience than we do in developing products, undertaking preclinical testing and clinical trials,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IMNN-001 Immunotherapy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Studied indications for IMNN-001 currently include newly diagnosed Stage III/IV ovarian cancer. In evaluating the competitive landscape for this indication, neo-adjuvant and/or adjuvant chemotherapy to debulking surgery (carboplatin and paclitaxel for ovarian cancer) is the standard of care. Bevacizumab, an angiogenesis inhibitor, can be used in conjunction with the adjuvant chemotherapy and prolonged until progression (the maintenance phase of the treatment).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IMNN-001 is being studied as an adjuvant to both chemotherapy standard of care regimens, as well as anti-angiogenesis compounds. To support these cases, we are conducting clinical studies in combination with chemotherapy, chemotherapy and bevacizumab for newly diagnosed ovarian cancer.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Technology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and will continue to encounter competition with an array of existing or development-stage drug approaches targeting diseases we are pursuing. We are aware of various established enterprises, including major pharmaceutical companies, broadly engaged in vaccine/immunotherapy research and development. These include Sanofi-Aventis, GlaxoSmithKline plc, Merck, Pfizer, and AstraZeneca. There are also various development-stage biotechnology companies involved in different vaccine and immunotherapy technologies including but not limited to Advaxis, Bavarian Nordic, CureVac, Dynavax, Hookipa, Iovance, Nektar, Translate Bio, Zydus, and Vir Biotechnology. If these companies are successful in developing their technologies, it could materially and adversely affect our business and our future growth prospects.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large number of companies are actively advancing COVID-19 vaccines through the clinic. Pfizer and BioNTech, Moderna Therapeutics, Novavax, Zydus, and AstraZeneca have received conditional or complete approval for their COVID-19 vaccines from either the U.S., WHO, or European regulatory authorities.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also compete more specifically with companies seeking to utilize antigen-encoding DNA delivered with electroporation or other DNA delivery technologies such as viral vectors or lipid vectors to induce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generated antigen production and immune responses to prevent or treat various diseases. These competitive technologies have shown promise, but they each also have their unique obstacles to overcome.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competitors develop products with efficacy or safety profiles significantly better than our drug candidates, we may not be able to commercialize our products, if approved, and sales of any of our commercialized products, if any, could be harmed. Some of our competitors and potential competitors have substantially greater product development capabilities and financial, scientific, marketing and human resources than we do. Competitors may develop products earlier, obtain regulatory approvals for products more rapidly, or develop products that are more effective than those under development by us. We will seek to expand our technological capabilities to remain competitive; however, research and development by others may render our technologies or products obsolete or noncompetitive or result in treatments or cures superior to ours.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competitive position will be affected by the disease indications addressed by our drug candidates and those of our competitors, the timing of market introduction for these products and the stage of development of other technologies to address these disease indications. For us and our competitors, proprietary technologies, the ability to complete clinical trials on a timely basis and with the desired results, and the ability to obtain timely regulatory approvals to market these drug candidates are likely to be significant competitive factors. Other important competitive factors will include efficacy, safety, ease of use, reliability, availability and price of products and the ability to fund operations during the period between technological conception and commercial sales.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TheraPlas technology, we own five patents in U.S. and international patents and related applications with claims on methods and compositions of matter that cover various aspects of TheraPlas and IMNN-001 technologies. The issued patents have expiration dates ranging from 2025 to 2028. Four new patents of the TheraPlas family were filed in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PlaCCine technology, we have filed three patent applications in the U.S. and abroad between 2021 and 2023 with claims on methods and compositions of matter that cover various aspect of the Company’s prophylactic and therapeutic vaccine technologies.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mentioned above, the FDA granted orphan drug designation to IMNN-001 for the treatment of ovarian cancer.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if approved,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rely on our proprietary know-how and experience in the development and use of our product portfolio,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xml:space="preserve"> of this Annual Report, including, but not limited to, “We rely on trade secret protection and other unpatented proprietary rights for important proprietary 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w:t>
      </w:r>
      <w:r>
        <w:rPr>
          <w:rFonts w:ascii="Times New Roman" w:cs="Times New Roman" w:eastAsia="Times New Roman" w:hAnsi="Times New Roman"/>
          <w:sz w:val="18"/>
          <w:szCs w:val="18"/>
          <w:b w:val="1"/>
          <w:bCs w:val="1"/>
          <w:color w:val="auto"/>
        </w:rPr>
        <w:t>Part I, 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1A, Risk Factors </w:t>
      </w:r>
      <w:r>
        <w:rPr>
          <w:rFonts w:ascii="Times New Roman" w:cs="Times New Roman" w:eastAsia="Times New Roman" w:hAnsi="Times New Roman"/>
          <w:sz w:val="18"/>
          <w:szCs w:val="18"/>
          <w:color w:val="auto"/>
        </w:rPr>
        <w:t>of this Annual Report, including, but not limited to, “Our business depends on license agreements with third parties to permit us to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patented technologies. The loss of any of our rights under these agreements could impair our ability to develop and market our products, if approved.”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21, 2025, we employed 25 full-time employees. We also maintain active independent contractor relationships with various individuals, most of whom have month-to-month or annual consulting agreements. None of our employees are covered by a collective bargaining agreement, and we consider our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The Company’s common stock trades on the Nasdaq Stock Market under the ticker symbol “IMNN.”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founded in 1982 and is a Delaware corporation. Our principal executive offices are located at 997 Lenox Drive, Suite 100, Lawrenceville, NJ 08648. Our telephone number is (609) 896-9100. The Company’s website is www.imunon.com. The information contained in, or that can be accessed through, our website is not part of, and is not incorporated into,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make available free of charge through our website, www.Imunon.com, our Annual Report, Quarterly Reports on Form 10-Q, Current Reports on Form 8-K, and all amendments to those reports as soon as reasonably practicable after such material is electronically filed with or furnished to the Securities and Exchange Commission (the “SEC”). In addition, our website, </w:t>
      </w:r>
      <w:r>
        <w:rPr>
          <w:rFonts w:ascii="Times New Roman" w:cs="Times New Roman" w:eastAsia="Times New Roman" w:hAnsi="Times New Roman"/>
          <w:sz w:val="18"/>
          <w:szCs w:val="18"/>
          <w:i w:val="1"/>
          <w:iCs w:val="1"/>
          <w:color w:val="auto"/>
        </w:rPr>
        <w:t>www.imunon.com</w:t>
      </w:r>
      <w:r>
        <w:rPr>
          <w:rFonts w:ascii="Times New Roman" w:cs="Times New Roman" w:eastAsia="Times New Roman" w:hAnsi="Times New Roman"/>
          <w:sz w:val="18"/>
          <w:szCs w:val="18"/>
          <w:color w:val="auto"/>
        </w:rPr>
        <w:t xml:space="preserv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The SEC also maintains an internet site that contains reports, proxy and information statements and other information regarding issuers that file periodic and other reports electronically with the Securities and Exchange Commission.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available on or through our website is not a part of this Annual Report and should not be relied upon.</w:t>
      </w:r>
    </w:p>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We are providing the following cautionary discussion of risk factors and uncertainties that we believe are relevant to our business. These are factors that, individually or in the aggregate, we think could cause our actual results to differ materially from expected or historical results and our forward-looking statements. We note these factors for investors as permitted by Section 21E of the Exchange Act and Section 27A of the Securities Act.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is a summary of some of the Company’s most important risks and uncertainties that could materially adversely affect our business, financial condition, and results of operations. You should read this summary together with a more detailed description of each risk factor. Additional discussion of the risks summarized in this Risk Factors Summary, and other risks that we face, can be found below under the heading “Risk Factors” and should be carefully considered, together with other information in this Annual Report on Form 10-K and our other filings with the SEC, before making an investment in our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Risk Related to Our Business and Operations</w:t>
      </w:r>
    </w:p>
    <w:p>
      <w:pPr>
        <w:spacing w:after="0" w:line="227"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significant losses from operations and expect to continue to incur significant losses for the foreseeable future and we may never achieve or maintain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continue as a going concern, which could cause our stockholders to lose most or all of their investment.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planned future operations, and we may be unable to secure such capital without significant dilutive financing transactions. If we are not able to raise additional capital, we may not be able to complete the development, testing and commercialization of our drug candidates.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an inherently uncertain process with a high risk of failure at every stage of development.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all of our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rely on third-party manufacturing and supply partners, our supply of research and development, preclinical and clinical development materials may become limited or interrupted or may not be of satisfactory quantity or quality.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Orphan Drug Designation for our drug candidates, but we may be unsuccessful or may be unable to maintain the benefits associated with Orphan Drug Designation, including the potential for market exclusivity.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Track designation may not actually lead to a faster development or regulatory review or approval process.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healthcare providers and physicians and third-party payors will be subject to applicable false claims act, anti-kickback, transparency, fraud and abuse and other healthcare laws and regulations, which could expose us to criminal sanctions, civil penalties, contractual damage, reputational harm and diminished profits and future earnings.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legislative and regulatory changes affecting the healthcare industry could have a material adverse effect on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evolving European and other privacy laws.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products, if approved may be harmed if the government, private health insurers and other third-party payers do not provide sufficient coverage or reimbursement.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current or future drug candidate will depend upon the degree of market acceptance by physicians, patients, payors and others in the medical community.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if approved, successfully.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or retain key officers or employees that we need to implement our business strategy and develop our drug candidates and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in part on our ability to grow and diversify, which in turn will require that we manage and control our growth effectively.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the failure to compete effectively could adversely affect our ability to develop and market our products, if approved.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significant product liability claims and litigation.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clinical research organizations (“CROs”) or other contractors or consultants, may fail or suffer security breaches, which could result in a material disruption of our product development programs.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69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Risks Related to Intellectual Property</w:t>
      </w:r>
    </w:p>
    <w:p>
      <w:pPr>
        <w:spacing w:after="0" w:line="227"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license agreements with third parties to permit us to use patented technologies. The loss of any of our rights under these agreements could impair our ability to develop and market our products, if approved.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pending patent applications do not issue, or are deemed invalid following issuance, we may lose valuable intellectual property protection.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trade secret protection and other unpatented proprietary rights for important proprietary technologies, and any loss of such rights could harm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patent and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significantly volatile.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delisted from The Nasdaq Capital Market if we fail to comply with continued listing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 the public market could cause our stock price to fall.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experience significant dilution as a result of future equity offerings or issuances and exercise of outstanding options and warrants.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 to offset future taxable income is subject to certain limitations.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paid cash dividends on our common stock and do not anticipate paying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history of significant losses from operations and expect to continue to incur significant losses for the foreseeable future, and we may never achieve or maintain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our inception, our expenses have substantially exceeded our revenue, resulting in continuing losses and an accumulated deficit of $407 million at December 31, 2024. For the years ended December 31, 2024 and 2023, we incurred net losses of $18.6 million and $19.5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IMNN-001 and other new drug candidates and these drug candidates have been clinically tested, approved by the FDA and successfully marketed. The amount of future losses is uncertain. Our ability to achieve profitability, if ever, will depend on, among other things, the following, which we cannot guarantee: us or our collaborators successfully developing drug candidates, obtaining regulatory approvals to market and commercialize drug candidates, manufacturing any approved products on commercially reasonable terms, establishing a sales and marketing organization or suitable third-party alternatives for any approved product, generating sufficient sales revenue from our drug candidates, and raising sufficient funds to finance business activities.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might not be able to continue as a going concern, which could cause our stockholders to lose most or all of their investment.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audited financial statements for the year ended December 31, 2024 were prepared under the assumption that we would continue as a going concern. However, we have concluded that there is substantial doubt about our ability to continue as a going concern, therefore our independent registered public accounting firm included a “going concern” explanatory paragraph in its report on our financial statements for the year ended December 31, 2024, indicating that, without additional sources of funding, our cash at December 31, 2024 is not sufficient for us to operate as a going concern for a period of at least one year from the date that the financial statements included in this Annual Report on Form 10-K are issued. Management’s plans concerning these matters, including our need to raise additional capital, are described in Note 2 of our financial statements included within this Annual Report on Form 10-K, however, management cannot assure you that its plans will be successful. If we cannot continue as a viable entity, our stockholders would likely lose most or all of their investment in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3" w:name="page34"/>
    <w:bookmarkEnd w:id="33"/>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will need to raise additional capital to fund our planned future operations, and we may be unable to secure such capital without significant dilutive financing transactions. If we are not able to raise additional capital, we may not be able to complete the development, testing and commercialization of our drug candidates.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year ended December 31, 2024, we incurred a net loss of $18.6 million. We have incurred approximately $407 million of cumulative net losses. As of December 31, 2024, we had cash and cash equivalents of $5.9 million.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substantial future capital requirements to continue our research and development activities and advance our drug candidates through various development stages, including the Phase 3 registrational trial of IMNN-001 in advanced ovarian cancer.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obtain regulatory approvals from the FDA and foreign regulatory agencies, we must conduct clinical trials demonstrating that our drug candidates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obtain approvals is also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receive regulatory approval of a product, the approval may limit the indicated uses for which the drug may be marketed. The failure to obtain timely regulatory approval of drug candidates, the imposition of marketing limitations, or a product withdrawal would negatively impact our business.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drug candidates, when and if approved. Finally, even if we obtain FDA approval of any of our drug candidates, we may never obtain approval or commercialize such products outside of the U.S., given that we may be subject to additional regulatory burdens in other markets. This could limit our ability to realize their full market potential.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development is an inherently uncertain process with a high risk of failure at every stage of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Securing FDA or comparable foreign regulatory approval requires the submission of extensive preclinical and clinical data and supporting information for each therapeutic indication to establish the drug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80"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related to the ongoing effects of the COVID-19 pandemic, including regulators or institutional review boards, or IRBs, or ethics committees may not authorize us or our investigators to commence a clinical trial or conduct a clinical trial at a prospective trial site;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preclinical test or clinical trial may fail to produce safety and efficacy results satisfactory to the FDA or comparable foreign regulatory authorities;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data can be interpreted in different ways, which could delay, limit, or prevent marketing approval;</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rejections based on changes in FDA policies or the policies of comparable foreign regulatory authorities during the period in which we develop a drug candidate, or the period required for review of any final marketing approval before we are able to market any drug candidate.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information generated during the clinical trial process is susceptible to varying interpretations that could delay, limit, or prevent marketing approval. Moreover, early positive preclinical or clinical trial results may not be replicated in later clinical trials. As more drug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drug candidates would delay or prevent marketing approval.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regulatory approval process for novel drug candidates such as ours can be significantly more expensive and take longer than for other, better-known or more extensively studied drug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Therapeutic Products within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drug candidates in either the U.S. or the European Union or how long it will take to commercialize our drug candidates.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Adverse events or the perception of adverse events in the field of gene therapy generally, or with respect to our drug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involving recombinant or nucleic acid molecules, we may be subject to review by an IBC and, in some cases, the NIH. Such review can delay the initiation of a clinical trial, even if the FDA has reviewed the trial design and details and approved its initiation. Conversely, the FDA can put an IND application on a clinical hold even if the IBC or the NIH has provided a favorable review. Such reviews and any new guidelines may lengthen the regulatory review process, require us to perform additional studies, increase our development costs, lead to changes in regulatory positions and interpretations, delay or prevent approval and commercialization of our drug candidates or lead to significant post-approval limitations or restrictions. Any increased scrutiny could delay or increase the costs of our product development efforts or clinical trials.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products receive regulatory approval, they may still face future development and regulatory difficulties. Government regulators may impose ongoing requirements for potentially costly post-approval studies. This governmental oversight may be particularly strict with respect to gene-based therapies.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encounter difficulties enrolling patients in our clinical trials, our clinical development activities could be delayed or otherwise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and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 and the process for identifying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availability of patients to participate in our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drug candidate being studied in relation to other available therapies, including any new products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drug candidates’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informed consents;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drug candidates, delay or halt the development of and approval processes for our drug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drug candidates. Any of the foregoing could cause the value of our company to decline and limit our ability to obtain additional financing, if needed.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drug candidates in a timely or cost-effective manner.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independently conduct clinical trials for our drug candidates. We rely, and expect to continue to rely, on third-party clinical investigators, CROs, clinical data management organizations and consultants to design, conduct, supervise and monitor our clinical trials.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drug candidates.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and that the rights, integrity and confidentiality of clinical trial participants are protected.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rely on third-party manufacturing and supply partners, our supply of research and development, preclinical and clinical development materials may become limited or interrupted or may not be of satisfactory quantity or quality.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or restricted in certain geographic regions or will be of satisfactory quality or will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cGMP.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any of our third-party manufacturers or testing contractors fail to maintain regulatory compliance, this could cause the delay of clinical trials, regulatory submissions, required approvals or commercialization of our drug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the manufacturing facilities of our third-party manufacturers.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our third-party manufacturers to implement and that may include the temporary or permanent suspension of a clinical trial or commercial sales or the temporary or permanent closure of a manufacturing facility. Any such remedial measures imposed upon third parties with whom we contract could materially harm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enter into and maintain successful strategic alliances for our drug candidates, we may have to reduce or delay our drug candidate development or increase our expenditures. To the extent we are able to enter into strategic transactions, we will be exposed to risks related to those collaborations and alliances.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important element of our strategy for developing, manufacturing and commercializing our drug candidates is entering into strategic alliances with pharmaceutical companies, research institutions or other industry participants to advance our programs and enable us to maintain our financial and operational capacity.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seeking appropriate alliances. We may not be able to negotiate alliances on acceptable terms, if at all. In addition, these alliances may be unsuccessful. If we fail to create and maintain suitable alliances, we may have to limit the size or scope of, or delay, one or more of our drug development or research programs. If we elect to fund drug development or research programs on our own, we will have to increase our expenditures and will need to obtain additional funding, which may be unavailable or available only on unfavorable terms.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successfully engage in future strategic transactions, which could adversely affect our ability to develop and commercialize drug candidates, impact our cash position, increase our expenses and present significant distractions to our management.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future, we may consider strategic alternatives intended to further the development of our business, which may include acquiring businesses, technologies, or products, out- or in-licensing drug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drug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drug candidates and have a negative impact on the competitiveness of any drug candidate that reaches market.</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obtained Orphan Drug Designation for IMNN-001 and may seek Orphan Drug Designation for other drug candidates, but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IMNN-001 has been granted orphan drug designation for ovarian cancer in both the U.S. and Europe. Regulatory authorities in some jurisdictions, including the U.S. and Europe, may designate drugs or biologics for relatively small patient populations as orphan drugs. Under the Orphan Drug Act, the FDA may designate a drug or biologic as an orphan drug if the disease or condition for which the drug is intended affects fewer than 200,000 individuals in the U.S., or, if the drug is intended for a disease or condition affecting 200,000 or more people in the U.S., there is no reasonable expectation that the cost of developing and making available in the U.S. the drug or biologic for the disease or condition will be recovered from sales of the drug in the U.S.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though we have obtained Orphan Drug Designation for IMNN-001 and may obtain such designation for other drug candidates in specific indications, we may not be the first to obtain marketing approval of these drug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indication. Even after an orphan product is approved, the FDA can subsequently approve a different sponsor’s application for the same drug for the same indication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IMNN-001 received U.S. FDA Fast Track designation in 2021. However, we may not experience a faster development process, review, or approval compared to a product that lacks Fast Track designation.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healthcare providers and physicians and third-party payors will be subject to applicable false claims act, anti-kickback, transparency, fraud and abuse and other healthcare laws and regulations, which could expose us to criminal sanctions, civil penalties, contractual damages, administrative burdens, reputational harm and diminished profits and future earnings.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biopharmaceutical products. In particular, the research of our drug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Ongoing legislative and regulatory changes affecting the healthcare industry could have a material adverse effect on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to potential fundamental changes that could substantially affect our results of operations by requiring, for example: (i) changes to our manufacturing arrangements; (ii) additions or modifications to product labeling; (iii) the recall or discontinuation of our products, if approved; or (iv) additional record-keeping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what healthcare reform initiatives may be adopted in the future. Further, federal and state legislative and regulatory developments are likely, and we expect ongoing initiatives in the U.S. to increase pressure on drug pricing. Such reforms could have an adverse effect on anticipated revenues for any drug candidates that we may successfully develop and for which we may obtain regulatory approval and may affect our overall financial condition and ability to develop drug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varying degrees of privacy regulation in the countries in which we operate, and the general trend is toward increasingly stringent regulation and enforcement. We are, for example, subject to costly and complex U.S. and foreign laws governing the collection, use, disclosure, and cross-border transfer of information about patients and other individuals that may materially adversely affect our financial condition and business operations. Since we have conducted and may conduct clinical trials in the European Economic Area (“EEA”), we are subject to additional data protection and clinical trial laws in the European Union. The General Data Protection Regulation, (EU) 2016/679 (“GDPR”), for example, governs the processing of personal data, and imposes numerous requirements on companies that process personal data, including requirements relating to processing health and other sensitive data, obtaining consent of the individuals to whom the personal data relates, providing notices to individuals regarding data processing activities, implementing safeguards to protect the security and confidentiality of personal data, alerting data subjects and authorities about data breaches, and taking specific measures when engaging third-party processors. The GDPR also imposes strict rules on the transfer of personal data to countries outside the EEA, including the U.S., and confers on data subjects the right to lodge complaints with supervisory authorities, and seek certain judicial review for violations of the GDPR. In addition, the GDPR includes restrictions on cross-border data transfers. Under the GDPR, competent regulatory authorities have the power to impose fines up to EUR 20 million or 4% of the global annual turnover (whichever is higher), depending on the nature of the violation (see Art. 83, GDPR). Further consequences of non-compliance could be cease and desist claims by certain organizations/competitors, damage claims and reputational damage. Further, Regulation (EU) No 536/2014 of the European Parliament and of the Council of 16 April 2014 on clinical trials on medicinal products for human use and repealing Directive 2001/20/EC governs how we conduct clinical trials in the European Union together with Good Clinical Practices. As a result of Brexit, moreover, we also have independent obligations, similar to those already imposed on us by GDPR, under the United Kingdom’s Data Protection Act, 2018. Additionally, there are other local data protection laws, industry-specific requirements, regulations, or applicable codes of conduct which may impact our operations. We have taken steps to implement privacy compliance programs and controls, but our business remains subject to potential risks of controls imposed on cross border data flows, unauthorized access, and loss of personal data through internal and external threats that could impact our business operations and research activities.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products, if approved, may be harmed if the government, private health insurers and other third-party payers do not provide sufficient coverage or reimbursement.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commercialize our new cancer treatment systems successfully will depend in part on the extent to which reimbursement for the costs of such products, if approved, and related treatments will be available from third-party payors, which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Patients are unlikely to use our drug candidates unless coverage is provided, and reimbursement is adequate to cover a significant portion of the cost. We cannot be sure that coverage and reimbursement will be available for, or accurately estimate the potential revenue from, our drug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Our products, if approved,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commercial success of our products, if approved, will depend upon their acceptance by the medical community and third-party payors as clinically useful, cost effective and safe. Any of our drug candidates or similar drug candidates being investigated by our competitors may prove not to be effective in trial or in practice, cause adverse events or other undesirable side effects. Our testing and clinical practice may not confirm the safety and efficacy of our drug candidates or even if further testing and clinical practice produce positive results, the medical community may view these new forms of treatment as effective and desirable or our efforts to market our new products, if approved, may fail. Market acceptance depends upon physicians and hospitals obtaining adequate reimbursement rates from third-party payors to make our products, if approved, commercially viable. Any of these factors could have an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if approved, successfully.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including providing adequate training on such topics.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will depend in part on our ability to grow and diversify, which in turn will require that we manage and control our growth effectively.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face intense competition and the failure to compete effectively could adversely affect our ability to develop and market our products, if approved.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we do,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our CROs and other contractors and consultants are vulnerable to damage from computer viruses and malicious software that could attack our networks and data centers or those of our service providers; unauthorized parties may attempt to gain access to our systems, networks, or facilities, or those of third parties with whom we do business, through fraud, trickery, or other forms of deceiving our employees or contractors, direct social engineering, phishing, credential stuffing, ransomware, denial or degradation of service attacks and similar types of attacks against any or all of us, our patients and our services providers; inadvertent security breaches or theft, misuse, unauthorized access or other improper actions by our employees, patients, service providers and other business partners; natural disasters, terrorism, war and telecommunication and electrical failures. These extensive information security and cybersecurity threats, which affect companies globally, pose a risk to the security and availability of our systems and networks, and the confidentiality, integrity, and availability of our sensitive data. Such events could cause significant interruptions of our operations. For instance, the loss of preclinical data or data from any clinical trial involving our drug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drug candidates could be delayed. In addition, such interruptions and cyber security incidents and faults can cause reputational damage.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 (1) FDA regulations or similar regulations of comparable non-U.S. regulatory authorities, including those laws requiring the reporting of true, complete and accurate information to such authorities, (2) manufacturing standards, (3) federal and state healthcare fraud and abuse laws and regulations and similar laws and regulations established and enforced by comparable non-U.S. regulatory authorities, and (4) laws that require the reporting of financial information or data accurately. In particular, sales, marketing and business arrangements in the healthcare industry are subject to extensive laws and regulations intended to prevent fraud, misconduct, kickbacks, self- dealing, bribery and other abusive practices. These laws and regulations restrict or prohibit a wide range of pricing, discounting, marketing and promotion, sales commission, customer incentive programs and other business arrangements. Employee or collaborator misconduct could also involve the improper use of, including trading on, information obtained in the course of clinical trials, which could result in regulatory sanctions and serious harm to our reputation. While we have a code of conduct and business ethics,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imprisonment, contractual damages, reputational harm, diminished profits and future earnings, and curtailment of our operations, any of which could have a material adverse effect on our ability to operate our business and our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Litigation and other legal proceedings against the Company, which may arise in the ordinary course of Company’s business, could be costly and time consuming to defend.</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subject to legal proceedings and claims that arise in the ordinary course of business. From time to time, third parties may in the future assert intellectual property rights to technologies that are important to the Company’s business and may in the future demand that we license their technology. Litigation may result in substantial costs and may divert management’s attention and resources, which may seriously harm the Company’s business, overall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 if approved.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any of our pending patent applications are not issued, or are deemed invalid following issuance, we may lose valuable intellectual property protection.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been issued will be held valid and enforceable in a court of law through the entire patent term. Even for patents that are held valid and enforceable, the legal process associated with obtaining such a judgment is time-consuming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if approved, encompassed by our patents. We may have to participate in interference proceedings declared by the U.S. Patent and Trademark Office, which could result in a loss of the patent and/or substantial cost to us.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patent applications, and plan to file additional patent applications, covering various aspects of our technologies and our proprietary drug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substantial costs as a result of litigation or other proceedings relating to patent and other intellectual property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infringing the patents and other proprietary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 In addition, there is a risk that the court will decide that such patents are not valid and that we do not have the right to stop the other party from using the inventions.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for our common stock has been, and we expect it to continue to be, volatile. The price at which our common stock trades depends upon a number of factors, some of these factors are beyond our control. Broad market fluctuations may lower the market price of our common stock and affect the volume of trading in our stock, regardless of our financial condition, results of operations, business or prospects. In addition to the factors discussed in this “Risk Factors” section and elsewhere in this Annual Report, these factors include:</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actual or potential clinical results with respect to drug candidates we are developing;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both the United States and abroad;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about the safety or efficacy of our drug candidates or technology, or related technology, or new technologies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 about the safety or efficacy of our drug candidates or technology, or related technology, or new technologies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announcements by our competitors or others;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comments by securities analysts and investors.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Our common stock may be delisted from The Nasdaq Capital Market if we fail to comply with continued listing standards.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under the symbol “IMNN.” If we fail to comply with Nasdaq’s continued listing standards, we may be delisted and our common stock will trade, if at all, only on the over-the-counter market, such as the OTC Bulletin Board or OTCQX market, and then only if one or more registered broker-dealer market makers comply with quotation requirements. In addition, delisting of our common stock could depress our stock price, substantially limit liquidity of our common stock and materially adversely affect our ability to raise capital on terms acceptable to us, or at all. Further, delisting of our common stock would likely result in our common stock becoming a “penny stock” under the Exchange 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26, 2024, we received a notice from the staff of the Nasdaq Stock Market LLC (the “Staff”) notifying us that, based upon the closing bid price of our common stock, for the 30 consecutive business days prior to the notice, we no longer met the requirement to maintain a minimum closing bid price of $1.00 per share, as set forth in Nasdaq Listing Rule 5550(a)(2). In accordance with Nasdaq Listing Rule 5810(c)(3)(A), we were granted 180 calendar days, or until May 27, 2025, to regain compliance with the minimum bid price rule.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regain compliance, the closing bid price of our common stock must be $1.00 per share or more for a minimum of 10 consecutive business days at any time before May 27, 2025. If we do not regain compliance with Rule 5550(a)(2) by May 27, 2025, we may be eligible for an additional 180 calendar day compliance period. To qualify, we will be required to meet the continued listing requirement for market value of publicly held shares and all other Nasdaq initial listing standards, except the bid price requirement, and would need to provide written notice to Nasdaq of our intention to cure the deficiency during the second compliance period. If it appears to the Staff that we will not be able to cure the deficiency, or if we are otherwise not eligible, Nasdaq would notify us that our securities will be subject to delisting. In the event of such notification, we may appeal the Staff’s determination to delist our securities, but there can be no assurance the Staff would grant our request for continued listing.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common stock were to be delisted by Nasdaq, it may be eligible for quotation on an over-the-counter quotation system or on the pink sheets. Upon any such delisting, our common stock would become subject to the regulations of the SEC relating to the market for penny stocks. A penny stock is any equity security not traded on a national securities exchange that has a market price of less than $5.00 per share. The regulations applicable to penny stocks may severely affect the market liquidity for our common stock and could limit the ability of stockholders to sell securities in the secondary market. In such a case, an investor may find it more difficult to dispose of or obtain accurate quotations as to the market value of our common stock, and there can be no assurance that our common stock will be eligible for trading or quotation on any alternative exchanges or markets.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Delisting from Nasdaq could adversely affect our ability to raise additional financing through public or private sales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February 21, 2025, we had 14,620,732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stockholders may experience significant dilution as a result of future equity offerings or issuances and exercise of outstanding options and warrants.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December 31, 2024, we had the following number of securities convertible into, or allowing the purchase of, our common stock, including 5,155,060 shares of common stock issuable upon exercise of warrants outstanding, 1,645,873 options to purchase shares of our common stock and restricted stock awards outstanding, and 420,000 shares of common stock reserved for future issuance under our stock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Unstable global market and economic conditions may have serious adverse consequences on our business, financial condition and share price.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ongoing conflict between Ukraine and Russia and the unrest in the Middle East has created extreme volatility in the global capital markets and is expected to have further global economic consequences, including with respect to global supply chain and energy concerns.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such volatility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use net operating losses to offset future taxable income is subject to certain limitations.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2017, the then President of the U.S. signed into law the Tax Reform Act. The Tax Reform Act significantly changed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reduced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2022, 2021 and years prior, we performed analyses to determine if there were changes in ownership, as defined by Section 382 of the Code, which would limit our ability to utilize certain net operating loss and tax credit carry forwards. We determined we experienced ownership changes, as defined by Section 382, in connection with certain common stock offerings in 2011, 2013, 2015, 2017, 2018, 2020, 2021 and 2024. As a result, the utilization of our federal tax net operating loss carry-forwards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 Future changes in tax laws could also impair our corporate tax rate and/or our ability to utilize our NOLs.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never paid cash dividends on our common stock in the past and do not anticipate paying cash dividends on our common stock in the foreseeable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staggered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processes for assessing, identifying and managing cybersecurity risks, which are built into our information technology (“IT”) function and are designed to help protect our information assets and operations from internal and external cyber threats, protect employee and clinical trial information from unauthorized access or attack, as well as secure our networks and systems. Such processes include physical, procedural and technical safeguards, response plans, and routine review of our policies and procedures to identify risks and refine our practices. We engage certain external parties, including a full-service managed IT service provider, to enhance our cybersecurity oversight.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of the Board of Directors (the “Audit Committee”) is responsible for overseeing cybersecurity risk and periodically updates our Board of Directors on such matters. The Audit Committee receives periodic updates from management regarding cybersecurity matters and is notified between such updates regarding any significant new cybersecurity threats or incidents. We do not believe that there are currently any known risks from cybersecurity threats that are reasonably likely to materially affect us or our business strategy, results of operations or financial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is responsible for the operational oversight of company-wide cybersecurity strategy, policy, and standards across relevant departments to assess and help prepare us to address cybersecurity risks.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effort to deter and detect cyber threats, we annually provide all employees with cybersecurity and prevention training, which covers timely and relevant topics, including social engineering, phishing, password protection, confidential data protection, and mobile security, and educates employees on the importance of reporting all incidents immediately. We also use technology-based tools to mitigate cybersecurity risks and to bolster our employee-based cybersecurity programs.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no real property and have no plans to acquire any real property in the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Lawrenceville, NJ Lease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August 2023, the Company renewed its Lawrenceville office lease for a 24-month agreement for 9,850 square feet with monthly rent payments of approximately $22,983 and $23,394.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Huntsville, AL Lease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January 2023, the Company renewed its Huntsville facility lease for a 60-month lease agreement for 11,420 square feet with monthly rent payments of approximately $28,550 to $30,903.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existing facilities are suitable and adequate to conduct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of future payments and maturity of our operating lease liabilities as of December 31, 2024:</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year ending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543,009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2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30,903</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1,139,293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2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 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2024, operating lease expense was $651,681 and cash paid for operating leases included in operating cash flows was $659,161. For 2023, operating lease expense was $646,633 and cash paid for operating leases included in operating cash flows was $644,593.</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80" w:right="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“IMNN.”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February 21, 2025, there were approximately 20,000 stockholders of record of our common stock. The actual number of stockholders may be greater than this number of record stockholders and include stockholders who are beneficial owners but whose shares are held in street name by brokers and other nominees. This number of stockholders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2024, we granted: (i) an inducement stock option to purchase 60,000 shares of the Company’s common stock with an exercise price of $1.02 per share to one individual hired by the Company during the fourth quarter of 2024 and (ii) an inducement stock option to purchase 50,000 shares of the Company’s common stock with an exercise price of $1.02 per share to Susan Eylward, our General Counsel, in each case as an “inducement” grant pursuant to Rule 5635(c)(4) of the Nasdaq Listing Rules. The grant of the option was exempt from registration under the Securities Act, pursuant to Section 4(a)(2) thereof as a transaction by an issuer not involving a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discussions should be read in conjunction with the financial statements and related notes thereto included in this Annual Report. The following discussion contains forward-looking statements made pursuant to the safe harbor provisions of Section 27A of the Securities Act and Section 21E of the Exchange Act and the Private Securities Litigation Reform Act of 1995. These statements are based on the Company’s beliefs and expectations about future outcomes and are subject to risks and uncertainties that could cause actual results to differ materially from anticipated results. Factors that could cause or contribute to such differences include those described under </w:t>
      </w:r>
      <w:r>
        <w:rPr>
          <w:rFonts w:ascii="Times New Roman" w:cs="Times New Roman" w:eastAsia="Times New Roman" w:hAnsi="Times New Roman"/>
          <w:sz w:val="18"/>
          <w:szCs w:val="18"/>
          <w:b w:val="1"/>
          <w:bCs w:val="1"/>
          <w:i w:val="1"/>
          <w:iCs w:val="1"/>
          <w:color w:val="auto"/>
        </w:rPr>
        <w:t>“Part I, Item 1A - Risk Factors”</w:t>
      </w:r>
      <w:r>
        <w:rPr>
          <w:rFonts w:ascii="Times New Roman" w:cs="Times New Roman" w:eastAsia="Times New Roman" w:hAnsi="Times New Roman"/>
          <w:sz w:val="18"/>
          <w:szCs w:val="18"/>
          <w:i w:val="1"/>
          <w:iCs w:val="1"/>
          <w:color w:val="auto"/>
        </w:rPr>
        <w:t xml:space="preserve"> appearing in this Annual Report and factors described in other cautionary statements, cautionary language and risk factors set forth in other documents that the Company files with the SEC. The Company undertakes no obligation to publicly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Phase II clinical development studies. IMNN-001 works by instructing the body to produce safe and durable levels of powerful cancer-fighting molecules, such as interleukin-12 and interferon gamma, at the tumor site. Additionally, the Company has entered into a first-in-human study of its COVID-19 booster vaccine (IMNN-101). We will continue to leverage these modalities and to advance the technological frontier of plasmid DNA to better serve patients with difficult-to-treat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 and Going Concern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business and our ability to execute our strategy to achieve our corporate goals are subject to numerous risks and uncertainties. Material risks and uncertainties relating to our business and our industry are described in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in this Annual Report on Form 10-K.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our inception. As of December 31, 2024, the Company has incurred approximately $407 million of cumulative net losses and had $5.9 million in cash and cash equivalents to fund its operations. We have substantial future capital requirements to continue our research and development activities and advance our drug candidates through various development stages. The Company believes these expenditures are essential for the commercialization of its drug candidates and technologies. The Company’s primary sources of cash have been proceeds from the issuance and sale of its common stock, including via its ATM program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our development plans, we anticipate cash resources will not be sufficient to fund our operations for the next twelve months. The Company has no committed sources of additional capital. 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commercialized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 management has determined there is substantial doubt regarding our ability to continue as a going concern. The report of our independent registered public accounting firm for the year ended December 31, 2024 includes an explanatory paragraph which expresses substantial doubt about our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outside investors, including via its ATM program and other potential funding sources.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ability to raise additional capital may also be adversely impacted by potential worsening global economic conditions and the recent disruptions to, and volatility in, financial markets in the U.S. and worldwide resulting from the ongoing conflict between Ukraine and Russia and the unrest in the Middle East. The specific impact, if any, is not readily determinable as of the date of the financial statements included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(“NOLs”) as part of the Technology Business Tax Certificate Program (the “NOL Program”) sponsored by The New Jersey Economic Development Authority. Under the program, emerging biotechnology companies with unused NOLs and unused research and development credits are allowed to sell these benefits to other New Jersey-based companies. In 2018, 2019 and 2020, the Company sold cumulative NOLs from 2011 to 2019 totaling $15 million and received net proceeds of $14 million. During 2021, the New Jersey State Legislature increased the maximum lifetime benefit per company from $15 million to $20 million. As part of the expanded NOL Program, the Company sold $4.6 million of its New Jersey NOLs in 2021, 2022 and 2023 resulting in net proceeds to the Company of approximately $4.2 million. The Company can participate in this funding program in future years for up to an additional $0.4 million in net operating losses under the $20 million maximum lifetime limit.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discussed in Note 8 to our financial statements included in this Annual Report, in June 2021, the Company entered into a $10 million loan facility with Silicon Valley Bank (the “SVB Loan Facility”). The Company immediately used $6 million from this facility to retire all outstanding indebtedness with Horizon Technology Finance Corporation. The funding was in the form of money market secured indebtedness bearing interest at a calculated WSJ Prime-based variable rate. The SVB Loan Facility was repaid in full during the quarter ended June 30,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and 2023, we issued a total of 5.1 million shares and 1.9 million shares of common stock, respectively, as discussed below for approximately $9.0 million and approximately $2.8 million, respectively, in net proceeds.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However, the Company’s ability to offer and sell its securities in a primary offering on the 2024 Registration Statement is limited by General Instruction I.B.6 of Form S-3 (the “Baby Shelf Limitation”), which limits the amount that the Company can offer to up to one-third of its public float during any trailing 12-month period. The Company would no longer be subject to the Baby Shelf Limitation if its public float exceeds $75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2024, the Company amended its ATM Agreement with H.C. Wainwright &amp; Co., LLC (“Wainwright”)as sales agent pursuant to which the Company may offer and sell, from time to time, through Wainwright, shares of the Company’s common stock having an aggregate offering price of up to $5,500,000. The Company intends to use the net proceeds from the offering, if any, for general corporate purposes, including research and development activities, capital expenditures and working capital.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Notwithstanding the termination of the ATM Prospectus, the ATM Agreement remains in full force and effect.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 2024, in connection with its intent to resume sales under the ATM Agreement, the Company filed a new prospectus supplement to the 2024 Registration Statement with the SEC for an aggregate offering price of up to $5,500,000 related to the potential issuance from time to time of the Company’s common stock pursuant to the ATM Agreement with Wainwright as sales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sold 88,976 shares of common stock under the ATM Agreement for net proceeds of $99,506 during 2024. During 2023, the Company sold 1,878,488 shares of common stock for net proceeds of $2,750,658.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2024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the Purchasers (as defined therein), pursuant to which the Company issued, in a registered direct offering, an aggregate of 5,000,000 shares of the Company’s common stock at an offering price of $2.00 per share for gross proceeds of $10.0 million before the deduction of the placement agent fees and offering expenses. In a concurrent private placement (together with the registered direct offering, the “July 2024 Offering”) and also pursuant to the July 2024 Purchase Agreement, the Company issued to the Purchasers unregistered warrants (the “Warrants”) to purchase an aggregate of 5,000,000 shares of its common stock at a purchase price of $2.00 per share. The Warrants were exercisable immediately after issuance for a term of five and one-half years following the date of issuance. The closing of the July 2024 Offering occurred on August 1,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July 2024 Offering, the Company entered into an engagement letter agreement with Wainwright pursuant to which the Company agreed to pay Wainwright and any other placement agents for the July 2024 Offering a cash fee equal to 7% of the aggregate gross proceeds raised from the sale of the securities sold in the July 2024 Offering and reimburse the placement agents for certain of their expenses in an amount not to exceed $85,000. Brookline Capital Markets, a division of Arcadia Securities, LLC, acted as co-placement agent in the July 2024 Offering.</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Please refer to Note 2 to our financial statements included in this Annual Report. Also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in this Annual Report, including, but not limited to</w:t>
      </w:r>
      <w:r>
        <w:rPr>
          <w:rFonts w:ascii="Times New Roman" w:cs="Times New Roman" w:eastAsia="Times New Roman" w:hAnsi="Times New Roman"/>
          <w:sz w:val="18"/>
          <w:szCs w:val="18"/>
          <w:i w:val="1"/>
          <w:iCs w:val="1"/>
          <w:color w:val="auto"/>
        </w:rPr>
        <w:t>, “We will need to raise substantial additional capital to fund our planned future operations, and we may be unable to secure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such capital without significant dilutive financing transactions. If we are not able to raise additional capital, we may not be able to complete the development, testing and commercialization of our drug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statements included in this Annual Report have been prepared in accordance with accounting principles generally accepted in the U.S. (“GAAP”), which require that we make certain assumptions and estimates and, in connection therewith, adopt certain accounting policies. Our significant accounting policies are set forth in Note 1 to our financial statements included in this Annual Report. Of those policies, we believe that the policies discussed below may involve a higher degree of judgment and may be more critical to an accurate reflection of our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Supplies are consumable and recorded at cost and are charged to expense as they are used in operations. Equipment and facilities acquired for research and development activities that have alternative future uses are capitalized and charged to expense over their estimated useful lives.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Warrant Accounting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ordinary shares and whether warrant holders could potentially require “net cash settlement” in a circumstance outside of our control, among other conditions for equity classification. This assessment, which requires the use of professional judgment, is conducted at the time of warrant issuance and as of each subsequent quarterly period end-date while the warrants are outstanding.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212529"/>
        </w:rPr>
        <w:t>For issued or modified warrants that meet all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warrants classified as liabilities are recognized as a non-cash gain or loss on our statements of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As the warrants issued upon our financings in 2024 meet the criteria for equity classification under ASC 815, those warrants were classified as equity as of December 31, 2024. No warrants were issued in 2023.</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GAAP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 Ended December 31, 2024 and Fiscal Year Ended December 31, 2023.</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our net loss was $18.6 million compared to a net loss of $19.5 million for the year ended December 31, 2023. The Company recognized $1.3 million in tax benefits from the sale of its New Jersey NOLs under the NOL Program in the fourth quarter of 2023. As of December 31, 2024, the Company had $5.9 million in cash and cash equivalents to fund its operations. The Company’s primary sources of cash have been proceeds from the issuance and sale of its common stock, including via its ATM program and other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or at all.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conditions raise substantial doubt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2024 includes an explanatory paragraph which expresses substantial doubt about our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the issuance and sale of its common stock, including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one segment for the research and development of our product candidates. The Company’s chief operating decision maker (“CODM”) has been identified as the Chief Executive Officer and President, who reviews operating results to make decisions about allocating resources and assessing performance for the entire Company based on consolidated financial information. Consequently, we view the entire organization as one reportable segment and the strategic purpose of all operating activities (including general &amp; administrative expenses) is to support that one segment. As a pre-revenue research and development company, the CODM evaluates company-wide performance and allocates resources based on non-financial research and development milestones achieved, and to a lesser extent, financial measures of performance such as clinical development (research and development expenses) and general and administrative expenses incurred. Our CODM does not generally evaluate our performance using asset or historical cash flow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The table below provides a summary of the significant expense categories and consolidated net loss details provided to the CODM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1,386</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1,197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189</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Vaccine</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1,420</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1,793</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641</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3"/>
              </w:rPr>
              <w:t>2,990</w:t>
            </w:r>
          </w:p>
        </w:tc>
        <w:tc>
          <w:tcPr>
            <w:tcW w:w="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3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1,504</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315</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4,511</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(1,957)</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2,283</w:t>
            </w:r>
          </w:p>
        </w:tc>
        <w:tc>
          <w:tcPr>
            <w:tcW w:w="30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(257)</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8,298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9,742</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(2,249)</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(“R&amp;D”) expenses decreased $0.3 million to $11.6 million in 2024 from $11.3 million in 2023. Costs associated with the OVATION 2 Study were $1.4 and $1.2 million in 2024 and 2023, respectively. Costs associated with the PlaCCine Vaccine Study were $1.4 million in 2024. Other clinical and regulatory costs were $2.4 million in 2024 compared to $1.8 million in 2023. R&amp;D costs associated with the development of IMNN-001 to support the OVATION 2 Study were $1.8 million in 2024, an increase from $0.3 million in same period of 2023. The development of the PLACCINE DNA vaccine technology platform decreased to $2.6 million in 2024 compared to $4.5 million in 2023. CMC costs decreased to $2.0 million in 2024 compared to $2.3 million in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to $7.5 million in 2024 compared to $9.7 million in 2023. This decrease is primarily attributable to the decrease in legal expenses of $1.4 million, employee related costs of $0.4 million, non-cash stock compensation expenses of $0.3 million, insurance costs of $0.1 million, and franchise tax of $0.2 million offset by higher consulting fees of $0.2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recognized interest expense of $0.2 million in 2023. As more fully discussed in Note 7 to our financial statements included in this Annual Report, in June 2021, the Company entered into a $10 million loan facility with Silicon Valley Bank. The Company immediately used $6 million from this facility to retire all outstanding indebtedness with Horizon Technology Finance Corporation. In connection with the SVB Loan Facility, the Company incurred $0.2 million in interest expense in 2023. In connection with the termination of the SVB Loan Facility in the second quarter of 2023, the Company paid early termination and end-of-term charges to SVB and recognized $0.3 million as a loss on debt extinguishment.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from the Company’s short-term investments was $0.5 million in 2024 compared to $1.2 million in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Annually, the State of New Jersey enables approved technology and biotechnology businesses with New Jersey NOLs the opportunity to sell these losses through the NOL Program, thereby providing cash to companies to help fund their research and development and business operations. During 2021, the New Jersey State Legislature increased the maximum lifetime benefit per company from $15 million to $20 million, which will allow the Company to participate in this innovative funding program in future years. After the cumulative NOL sales through 2023, the Company has approximately $0.4 million remaining under the NOL Program.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to sell the approved portion of the New Jersey NOLs applied for in 2023 for $1.3 million. At December 31, 2023, the Company evaluated the valuation reserve for its NOLs associated with its New Jersey NOLs and reduced the valuation reserve and recognized $1.3 million as a deferred tax asset and an income tax benefit. The Company completed the sale of these NOLs in March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income, and we had an accumulated deficit of $407 million at December 31,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we had total current assets of $8.0 million and current liabilities of $4.8 million, resulting in net working capital of $3.2 million. On December 31, 2024, we had cash and cash equivalents of $5.9 million. On December 31, 2023, we had total current assets of $18.2 million and current liabilities of $7.4 million, resulting in net working capital of $10.8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2024 was $18.9 million. Our net loss of $18.6 million for 2024 included non-cash transactions of $0.5 million in non-cash stock-based compensation expense. On December 31, 2024, we had cash and cash equivalents of $5.9 million. See Financing Overview.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drug candidates, or products we would otherwise seek to develop or commercialize on our own, or to license the rights to our technologies, drug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drug candidates, or products on terms not favorable to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utilize off-balance sheet financing arrangements as a source of liquidity or financing.</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statements, supplementary data and report of independent registered public accounting firm required to be filed pursuant to this Item 8 are appended to this Annual Report beginning on page F-1.</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conducted an evaluation of the effectiveness of the design and operation of our disclosure controls and procedures (as such term is defined in Rules 13a-15(e) and 15d-15(e) under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2024, which is the end of the period covered by this Annual Report, our disclosure controls and procedures were effective.</w:t>
      </w:r>
    </w:p>
    <w:p>
      <w:pPr>
        <w:spacing w:after="0" w:line="180"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2024. In making this assessment, management used the criteria set forth by the Committee of Sponsoring Organizations of the Treadway Commission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Based on its evaluation, management has concluded that the Company’s internal control over financial reporting is effective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Regulation S-K Item 308(b), this Annual Report does not include an attestation report of the Company’s registered public accounting firm regarding internal control over financial reporting.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3"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in the fiscal quarter ended December 31, 2024 that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six members and is divided into three classes of directors serving staggered three-year terms. Directors for each class are elected at the Annual Meeting of Stockholders held in the year in which the term for their class expires and hold office for a three-year term and until their successors are duly elected and qualified, or their earlier death, resignation or removal. In accordance with our amended and restated certificate of incorporation and bylaws, our Board may fill any vacancy on the Board by appointment.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information regarding our Company’s current directors, as well as our non-director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AGE</w:t>
            </w:r>
          </w:p>
        </w:tc>
        <w:tc>
          <w:tcPr>
            <w:tcW w:w="55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w:t>
            </w:r>
          </w:p>
        </w:tc>
      </w:tr>
      <w:tr>
        <w:trPr>
          <w:trHeight w:val="191"/>
        </w:trPr>
        <w:tc>
          <w:tcPr>
            <w:tcW w:w="3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Frederick J. Fritz</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74</w:t>
            </w:r>
          </w:p>
        </w:tc>
        <w:tc>
          <w:tcPr>
            <w:tcW w:w="2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Stacy R. Lindborg, Ph.D.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P. Braun, Ph.D.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Khursheed Anwer, Ph.D.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Scientific Officer</w:t>
            </w:r>
          </w:p>
        </w:tc>
        <w:tc>
          <w:tcPr>
            <w:tcW w:w="112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Eylward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c>
          <w:tcPr>
            <w:tcW w:w="112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Faller, MD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1120" w:type="dxa"/>
            <w:vAlign w:val="bottom"/>
          </w:tcPr>
          <w:p>
            <w:pPr>
              <w:spacing w:after="0"/>
              <w:rPr>
                <w:sz w:val="18"/>
                <w:szCs w:val="18"/>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Gaiero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120" w:type="dxa"/>
            <w:vAlign w:val="bottom"/>
          </w:tcPr>
          <w:p>
            <w:pPr>
              <w:spacing w:after="0"/>
              <w:rPr>
                <w:sz w:val="20"/>
                <w:szCs w:val="20"/>
                <w:color w:val="auto"/>
              </w:rPr>
            </w:pPr>
          </w:p>
        </w:tc>
      </w:tr>
      <w:tr>
        <w:trPr>
          <w:trHeight w:val="432"/>
        </w:trPr>
        <w:tc>
          <w:tcPr>
            <w:tcW w:w="3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in 2026)</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Frederick J. Fritz. </w:t>
      </w:r>
      <w:r>
        <w:rPr>
          <w:rFonts w:ascii="Times New Roman" w:cs="Times New Roman" w:eastAsia="Times New Roman" w:hAnsi="Times New Roman"/>
          <w:sz w:val="18"/>
          <w:szCs w:val="18"/>
          <w:color w:val="auto"/>
        </w:rPr>
        <w:t>Mr. Fritz was appointed to our Board of Directors in July 2011. Mr. Fritz has served as CEO and Founder of NeuroDx,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stage diagnostic device company focused on the neurosurgery market, since 2006. Mr. Fritz joined NeuroDx from Valeo Medical, a biotechnology company he founded in 2003 to develop the world’s first non-invasive diagnostic test for endometriosis. Prior to that, Mr. Fritz was President and CEO of Songbird Hearing, Inc., a medical device company spun out of Sarnoff Corporation. Mr. Fritz began his career in marketing management and new product development. He joined Schering Plough’s Wesley Jessen in 1985 as VP Marketing and Sales in 1986. He was promoted to general manager of Schering’s Over the Counter pharmaceutical business in 1988 and of the podiatric products business in 1990. He was President of Coleman North America from 1995 to 1997. Mr. Fritz holds a bachelor’s degree in engineering (summa cum laude) from University of Illinois and an MBA degree from Harvard University.</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Ms. Christine A. Pellizzari. </w:t>
      </w:r>
      <w:r>
        <w:rPr>
          <w:rFonts w:ascii="Times New Roman" w:cs="Times New Roman" w:eastAsia="Times New Roman" w:hAnsi="Times New Roman"/>
          <w:sz w:val="18"/>
          <w:szCs w:val="18"/>
          <w:color w:val="auto"/>
        </w:rPr>
        <w:t>Ms. Pellizzari was appointed to our Board of Directors in June 2021. Ms. Pellizzari most recently served as the Chief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Human Resources Officer of Science 37 (formerly Nasdaq: SNCE), a developer of leading decentralized clinical trial solutions, where she had global responsibility for both the legal and human resource functions and also oversaw quality and privacy from 2021 through 2024. Immediately prior to joining Science 37, Ms. Pellizzari served as the General Counsel and Corporate Secretary of Insmed, Inc., (Nasdaq: INSM) a publicly traded biotech company focused on serious and rare diseases, from 2013 to 2018 and as Chief Legal Officer from 2018 to 2021. From 2007 through 2012 Ms. Pellizzari held various legal positions of increasing responsibility at Aegerion Pharmaceuticals, most recently as Executive Vice President, General Counsel and Corporate Secretary. Prior to Aegerion, Ms. Pellizzari was Senior Vice President, General Counsel and Secretary at Dendrite International, Inc., a formerly publicly traded company that provided sales effectiveness, promotional and compliance solutions to the pharmaceutical industry. Ms. Pellizzari joined Dendrite from the law firm of Wilentz, Goldman &amp; Spitzer, where she specialized in health care transactions and related regulatory matters. Ms. Pellizzari has nearly three decades of relevant experience, including having served for over 25 years as Chief Legal Officer and General Counsel of publicly traded companies in biopharmaceutical and related industries. Ms. Pellizzari also serves on the board of directors of Tempest Therapeutics (Nasdaq: TPST), a public clinical-stage oncology company and Neurosense Therapeutics (Nasdaq: NRSN), a public clinical-stage development company advancing treatments for severe neurodegenerative diseases. Ms. Pellizzari received her Bachelor of Arts, cum laude, from the University of Massachusetts (Amherst) and her Juris Doctor degree from the University of Colorado School of Law. She is a member of Global Leaders in Law, Executive Women in Bio, Women Corporate Directors, National Association of Corporate Directors, Association of Corporate Counsel, Society for Corporate Governance and National Association of Stock Plan Professionals.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in 2027)</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James E. Dentzer. </w:t>
      </w:r>
      <w:r>
        <w:rPr>
          <w:rFonts w:ascii="Times New Roman" w:cs="Times New Roman" w:eastAsia="Times New Roman" w:hAnsi="Times New Roman"/>
          <w:sz w:val="18"/>
          <w:szCs w:val="18"/>
          <w:color w:val="auto"/>
        </w:rPr>
        <w:t>Mr. Dentzer was appointed to our Board of Directors in September 2022. He has been President and Chief Executive Officer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Board of Directors of Curis, Inc. (Nasdaq: CRIS) since September 2018. From March 2018 to September 2018, Mr. Dentzer served as Curis’ Chief Operating Officer and Chief Financial Officer. From March 2016 to March 2018, Mr. Dentzer served as Curis’ Chief Administrative Officer and Chief Financial Officer. Mr. Dentzer has also held the positions of secretary and treasurer from March 2016 to March 2019. Prior to joining Curis, Mr. Dentzer served as Chief Financial Officer of Dicerna Pharmaceuticals, Inc., a formerly publicly traded biotechnology company, from December 2013 to December 2015. Prior to that, he was the Chief Financial Officer of Valeritas, Inc., a formerly publicly traded medical technology company, from March 2010 to December 2013. Prior to joining Valeritas, Inc., he was the Chief Financial Officer of Amicus Therapeutics, Inc. (Nasdaq: FOLD), a biotechnology company, from October 2006 to October 2009. In prior positions, he spent six years as Corporate Controller of Biogen Inc. (Nasdaq: BIIB), a biotechnology company, and six years in various senior financial roles at E.I. du Pont de Nemours and Company, a chemical, petroleum and biotechnology company, in the U.S. and Asia. Mr. Dentzer holds a B.A. degree in Philosophy from Boston College and an M.B.A. from the University of Chicago.</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Dr. Stacy R. Lindborg</w:t>
      </w:r>
      <w:r>
        <w:rPr>
          <w:rFonts w:ascii="Times New Roman" w:cs="Times New Roman" w:eastAsia="Times New Roman" w:hAnsi="Times New Roman"/>
          <w:sz w:val="18"/>
          <w:szCs w:val="18"/>
          <w:color w:val="auto"/>
        </w:rPr>
        <w:t>. Dr. Lindborg, a director since 2021, has served as President and Chief Executive Officer of the Company since May 2024. 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Lindborg, a globally recognized biostatistician, brings to Imunon nearly 30 years of pharmaceutical and biotech industry experience with a particular focus on R&amp;D, regulatory affairs, executive management and strategy. She has worked with biologics, small molecules and cell therapies to address a broad range of diseases and disorders, including multiple Orphan drug products, along with extensive experience in early-stage development having taken molecules from first-in-human studies into the clinic, through regulatory approval and commercial launch. Prior to joining the Company, Dr. Lindborg held the position of co-Chief Executive Officer at Brainstorm Cell Therapeutics (Nasdaq: BCLI), which she joined in 2020, and where she also currently serves as an independent director since May 2024. From 2012 to 2020, she held positions of increasing responsibility at Biogen and served as Vice President for Global Analytics and Data Sciences. Prior to her time at Biogen, Dr. Lindborg had worked at Eli Lilly and Company (NYSE: LLY) since 1996 advancing through the organization to serve from 2010 to 2012 as Head of R&amp;D Strategy with responsibility for characterizing the productivity of the portfolio and advancing key R&amp;D strategy projects by connecting individual drug-development decisions to portfolio risk practices and driving fundamental R&amp;D decisions to increase the number of drug launches. Dr. Lindborg received an M.A. and a Ph.D. in statistics from Baylor University. She has authored more than 50 abstracts, 200 presentations and 40 manuscripts that have been published in peer-reviewed journals. She has held numerous positions within the American Statistical Association and International Biometric Society and was elected Fellow in 2008.</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in 2025)</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Donald P. Braun. </w:t>
      </w:r>
      <w:r>
        <w:rPr>
          <w:rFonts w:ascii="Times New Roman" w:cs="Times New Roman" w:eastAsia="Times New Roman" w:hAnsi="Times New Roman"/>
          <w:sz w:val="18"/>
          <w:szCs w:val="18"/>
          <w:color w:val="auto"/>
        </w:rPr>
        <w:t>Dr. Braun was appointed to our Board of Directors in December 2015. Dr. Braun has over 35 years of research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oncology, cancer immunology, cancer immunotherapy, and inflammatory diseases. He is the author of more than 120 published peer-reviewed manuscripts, twenty-five reviews and book chapters, and co-editor of a book on the role of prostaglandins and other COX 2 metabolites in cancer patient immunity and immunotherapy. He served from 2006 to 2014 as Vice President Clinical Research, after which he served as Vice President Translational Research and Chief Science Officer at the Cancer Treatment Centers of America until his retirement in May 2016. Prior to this role, he was the Scientific Director of the Cancer Center and Professor of Medicine and Immunology at Rush Medical College in Chicago from 1978 to 1999, and the Administrative Director of the Cancer Institute and a Professor of Surgery with tenure at the Medical College of Ohio from 1999 to 2006. He received his Ph.D. in Immunology and Microbiology from the University of Illinois at the Medical Center in Chicago. Dr. Braun has served as an advisor to numerous public agencies and private corporations concerned with cancer therapeutics and diagnostics. At the National Cancer Institute, Dr. Braun served as a member of the Experimental Therapeutics Study Section; the Small Business Innovation Grant Review Study Section; and the Experimental Therapy program for “Molecular Targets in Lung Cancer.” He served as a member of the Immunology and Immunotherapy Study Section of the American Cancer Society-National Division; as a Member of the Ohio Cancer Incidence Surveillance System; as a Member of the Biomedical Research Technology Transfer Commission for the State of Ohio; and as an advisor to the State of Arizona’s Disease Research Control Commission. Dr. Braun has also served as a consultant to numerous pharmaceutical and biotechnology companies developing cancer treatments and diagnostics including Pfizer Inc. (NYSE: PFE), Sterling Winthrop, Abbott Laboratories (NYSE: ABT), Boehringer Mannheim, Serono Corporation, Biomira Inc., Centocor and Merck KGA.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Michael H. Tardugno. </w:t>
      </w:r>
      <w:r>
        <w:rPr>
          <w:rFonts w:ascii="Times New Roman" w:cs="Times New Roman" w:eastAsia="Times New Roman" w:hAnsi="Times New Roman"/>
          <w:sz w:val="18"/>
          <w:szCs w:val="18"/>
          <w:color w:val="auto"/>
        </w:rPr>
        <w:t>Mr. Tardugno was appointed President and Chief Executive Officer of the Company on January 3, 2007, and was elected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on January 22, 2007. In October of 2014, Mr. Tardugno was appointed by our Board of Directors as our Chairman. Effective July 18, 2022, Mr. Tardugno transitioned from the roles of President, Chief Executive Officer and Chairman to the position of Executive Chairman of the Board. From March 15, 2024, Mr. Tardugno served as interim Chief Executive Officer until the appointment of Dr. Lindborg effective May 13, 2024. Prior to joining the Company and for the period from February 2005 to December 2006, Mr. Tardugno served as Senior Vice President and General Manager of Mylan Technologies, Inc., a subsidiary of Mylan Inc. From 1998 to 2005, Mr. Tardugno was Executive Vice President of Songbird Hearing, Inc., a medical device company spun out of Sarnoff Corporation. From 1996 to 1998, he was Senior Vice President of Technical Operations worldwide for a division of Bristol-Myers Squibb (NYSE: BMY), and from 1977 to 1995, he held increasingly senior executive positions including Senior Vice President of Worldwide Technology Development with Bausch &amp; Lomb (NYSE, TSX: BLCO) and Abbott Laboratories (NYSE: ABT). Mr. Tardugno holds a B.S. degree from St. Bonaventure University and completed the Harvard Business School Program for Management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biographical summaries for each of our executive officers, other than Dr. Stacy R. Lindborg, whose biographical summary is described above. Each executive officer is elected by and serves at the pleasure of our Board of Directors.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Khursheed Anwer, Ph.D. </w:t>
      </w:r>
      <w:r>
        <w:rPr>
          <w:rFonts w:ascii="Times New Roman" w:cs="Times New Roman" w:eastAsia="Times New Roman" w:hAnsi="Times New Roman"/>
          <w:sz w:val="18"/>
          <w:szCs w:val="18"/>
          <w:color w:val="auto"/>
        </w:rPr>
        <w:t>Dr. Anwer joined us in June 2014 as Executive Vice President and Chief Scientific Officer, in connection with our acquisition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the assets of EGWU, Inc. (formerly known as Egen, Inc.), an Alabama corporation (or “EGEN”). Before joining the Company, Dr. Anwer served as EGEN’s President and Chief Scientific Officer, a position he held since 2009. He joined EGEN in July 2002 as Vice President of Research and Development and directed EGEN’s clinical and research and development functions. Before joining EGEN, Dr. Anwer was Director of Pre-Clinical Development at Valentis, Inc. from July 2000 to June 2002. From 1993 to 1999, he served in several positions at GeneMedicine, Inc., where he led several research projects in the area of non-viral gene therapy. He has authored more than 40 publications in the area of non-viral gene therapy, resulting from his active career in research and development. Dr. Anwer holds a Ph.D. in physiology/pharmacology from Ohio University and received post-doctoral training from the University of Texas Health Science Center at Houston. Dr. Anwer also has a master’s in business administration from the University of Alabama.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Susan Eylward </w:t>
      </w:r>
      <w:r>
        <w:rPr>
          <w:rFonts w:ascii="Times New Roman" w:cs="Times New Roman" w:eastAsia="Times New Roman" w:hAnsi="Times New Roman"/>
          <w:sz w:val="18"/>
          <w:szCs w:val="18"/>
          <w:color w:val="auto"/>
        </w:rPr>
        <w:t>Ms. Eylward joined the Company in October 2024 as General Counsel and Corporate Secretary. Prior to her position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Eylward served as Senior Counsel at Science 37, Inc. (formerly Nasdaq: SNCE), a solutions organization focused on decentralized clinical trials, from January 2022 through April 2024, where she was responsible for a variety of complex legal matters, including, among others, corporate governance, securities compliance, executive compensation, and acquisitions. Prior to that, Ms. Eylward served as corporate counsel and Vice President at the Allstate Corporation (NYSE: ALL) during 2021, at National General Holdings Corp. (formerly Nasdaq: NGHC) from September 2014 through December 2020, and at Tower Group International, Ltd. (formerly Nasdaq: TWGP) from May 2009 through September 2014, and at each of the foregoing, she had responsibility for various corporate legal matters including governance, securities law, alternative investments and transactions. From 2004 through 2009, Ms. Eylward practiced law at Dewey &amp; LeBoeuf LLP, where she represented public and private companies for equity and debt offerings, as well as mergers and acquisitions. Ms. Eylward received a Juris Doctor from New York Law School and a Bachelor of Arts in Accounting from Boston College.</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Douglas Faller, MD </w:t>
      </w:r>
      <w:r>
        <w:rPr>
          <w:rFonts w:ascii="Times New Roman" w:cs="Times New Roman" w:eastAsia="Times New Roman" w:hAnsi="Times New Roman"/>
          <w:sz w:val="18"/>
          <w:szCs w:val="18"/>
          <w:color w:val="auto"/>
        </w:rPr>
        <w:t>Dr. Faller, an internationally recognized oncologist/hematologist and scientist, has nearly 30 years of pharmaceutical and biotech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experience with a particular focus on clinical R&amp;D, discovery, regulatory affairs, and strategy development. He has worked with small molecules, gene therapies, biologics and cell therapies to address a range of malignant and non-malignant diseases and disorders, including rare and genetic diseases, and neurological and neuropsychiatric disorders. He has extensive experience in early-stage development as well as global late-stage development and world-wide marketing approvals. He has taken molecules (including those discovered in his own academic laboratories) from first-in-human studies in the clinic, through registrational trials, international regulatory approvals and commercial launch. Prior to his position with the Company, Dr. Faller served as Chief Medical Officer of Skyhawk Therapeutics beginning in 2024, where he led the development of splicing modulators for the treatment of oncological and neurological disorders. From 2022 through 2024, he served as Chief Medical Officer of Oryzon Genomics, leading the development of epigenetic-modifying small molecules in oncology and neuropsychiatric disorders, and prior to that role, from 2015 through 2022, Dr. Faller was Executive Medical Director at Takeda Pharmaceuticals, where he led multiple programs in hematologic oncology, solid tumor malignancies and rare diseases, from first-in-human to global registrational trials and post-marketing trials. He was also extensively involved in Business Development for oncology, hematology and rare diseases. Dr. Faller was the scientific founder and CMO/CSO of Viracta Therapeutics, which he joined in 2019 and remained through 2021, after it became publicly traded and launched a pivotal trial of his therapeutic. Dr. Faller is the scientific founder or co-founder of four biopharma companies. Prior to working full-time in the biopharmaceutical industry, Dr. Faller was a professor at Harvard Medical School, and an attending physician at Brigham and Women’s Hospital, Boston Children’s Hospital and Dana-Farber Cancer Institute. He founded and directed the Comprehensive Cancer Center at Boston University, where he also served as the first Grunebaum Professor for Cancer Research, Vice-Chairman of the Department of Medicine, and Professor of Medicine, Biochemistry, Pediatrics, Microbiology, Pathology and Laboratory Medicine. Dr. Faller received a B.S. in biochemistry from the Massachusetts Institute of Technology, an MD from Harvard Medical School, and a PhD from the Massachusetts Institute of Technology in cancer molecular biology. He has authored more than 300 abstracts, 230 presentations and 375 manuscripts that have been published in peer-reviewed journals. He is certified in Internal Medicine, Hematology and Oncology, and is a Fellow of the American College of Physicians.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Gaiero </w:t>
      </w:r>
      <w:r>
        <w:rPr>
          <w:rFonts w:ascii="Times New Roman" w:cs="Times New Roman" w:eastAsia="Times New Roman" w:hAnsi="Times New Roman"/>
          <w:sz w:val="18"/>
          <w:szCs w:val="18"/>
          <w:color w:val="auto"/>
        </w:rPr>
        <w:t>Mr. Gaiero joined the Company in May 2024 as Chief Financial Officer pursuant to a professional agreement (the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Monomoy Advisors, LLC, a financial advisory services firm (“Monomoy”). He currently serves as a partner with Monomoy. Prior to joining Monomoy in May 2024, Mr. Gaiero served as Chief Financial Officer of Cyteir Therapeutics, Inc. Prior to joining Cyteir Therapeutics in December 2020, Mr. Gaiero served in various roles at Wave Life Sciences (Nasdaq: WVE) from July 2017 to December 2020, most recently serving as Interim Chief Financial Officer and prior to that, serving as Vice President and Corporate Controller. Prior to joining Wave Life Sciences, from September 2015 to July 2017, Mr. Gaiero served as Vice President and Corporate Controller of OvaScience, Inc. Prior to that, Mr. Gaiero held various positions of increasing responsibility and scope in finance and accounting at iRobot Corporation. Mr. Gaiero began his career in public accounting at PricewaterhouseCoopers LLP. Mr. Gaiero received a B.B.A. in Accounting from the University of Massachusetts, Amherst, and is a Certified Public Accountant in Massachusetts.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our common stock to file reports of ownership and reports of changes in ownership of common stock and other equity securities of the Company with the SEC. Executive officers, directors and greater than 10% stockholders are required by SEC regulations to furnish us with copies of all Section 16(a) forms they file.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identified the following reports required to be filed by insiders under Section 16(a) of the Exchange Act that were not filed in a timely manner: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late report by Stacy Lindborg relating to one transaction and one late report by Donald Braun relating to one transaction.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reports furnished to us, we believe that during the year ended December 31, 2024, our executive officers, directors and greater than 10% stockholders complied with all Section 16(a) filing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Code of Ethics and Business Conduct is applicable to all employees, including the principal executive officer, principal financial officer and principal accounting officer or controller, or persons performing similar functions. The Code of Ethics and Business Conduct is posted on our website at </w:t>
      </w:r>
      <w:r>
        <w:rPr>
          <w:rFonts w:ascii="Times New Roman" w:cs="Times New Roman" w:eastAsia="Times New Roman" w:hAnsi="Times New Roman"/>
          <w:sz w:val="18"/>
          <w:szCs w:val="18"/>
          <w:i w:val="1"/>
          <w:iCs w:val="1"/>
          <w:u w:val="single" w:color="auto"/>
          <w:color w:val="auto"/>
        </w:rPr>
        <w:t>www.imunon.com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Audit Committee consists of Mr. James A. Dentzer (Chair), Mr. Frederick J. Fritz and Ms. Christine Pellizzari. Our Audit Committee operates under a written charter as amended and restated effective January 24, 2023. A copy of that charter, as may be amended from time to time, is available on our web site, located at </w:t>
      </w:r>
      <w:r>
        <w:rPr>
          <w:rFonts w:ascii="Times New Roman" w:cs="Times New Roman" w:eastAsia="Times New Roman" w:hAnsi="Times New Roman"/>
          <w:sz w:val="18"/>
          <w:szCs w:val="18"/>
          <w:i w:val="1"/>
          <w:iCs w:val="1"/>
          <w:u w:val="single" w:color="auto"/>
          <w:color w:val="auto"/>
        </w:rPr>
        <w:t>http://www.imunon.com</w:t>
      </w:r>
      <w:r>
        <w:rPr>
          <w:rFonts w:ascii="Times New Roman" w:cs="Times New Roman" w:eastAsia="Times New Roman" w:hAnsi="Times New Roman"/>
          <w:sz w:val="18"/>
          <w:szCs w:val="18"/>
          <w:color w:val="auto"/>
        </w:rPr>
        <w:t>. Additional copies of the charter are available upon written request to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assists our Board of Directors in fulfilling its responsibility to oversee management’s implementation of our financial reporting process. In discharging its oversight role, the Audit Committee reviewed and discussed the audited financial statements contained in our 2024 Annual Report on Form 10-K with our management and independent registered public accounting firm. Management is responsible for the financial statements and the reporting process, including the system of internal controls. Our independent registered public accounting firm is responsible for expressing an opinion on the conformity of those financial statements with accounting principles generally accepted in the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has determined that all members of the Audit Committee meet the independence standards established by the SEC and Nasdaq. Our Board has determined that Mr. Dentzer is qualified to serve as the “audit committee financial expert” as defined by Item 407(d)(5) of Regulation S-K and that Mr. Fritz and Ms. Pellizzari meet the financial literacy requirements under applicable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the procedures by which stockholders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an insider trading policy which governs the purchase, sales, and/or other dispositions of our securities by directors, officers, and employees. Our insider trading policy is attached hereto as Exhibit 19 and incorporated herein. Our insider trading policy is designed to promote compliance with insider trading laws, rules and regulations and, among other things, prohibits our officers, directors, and employees from, among other things, engaging in short sales, transactions in derivative securities (including put and call options) or other forms of hedging transactions (i.e., zero-cost collars, equity swaps, exchange funds and forward sale contracts) that are designed to hedge or offset any decrease in the market value of equity securities (1) granted to the executive officer or director by the Company as part of the compensation of such individual, or (2) held, directly or indirectly, by the executive officer or director.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“2024 Summary Compensation Table” below. In 2024, our “named executive officers” and their positions were as follows:</w:t>
      </w:r>
    </w:p>
    <w:p>
      <w:pPr>
        <w:spacing w:after="0" w:line="162" w:lineRule="exact"/>
        <w:rPr>
          <w:sz w:val="20"/>
          <w:szCs w:val="20"/>
          <w:color w:val="auto"/>
        </w:rPr>
      </w:pPr>
    </w:p>
    <w:p>
      <w:pPr>
        <w:ind w:left="1100" w:hanging="647"/>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Stacy Lindborg, our President and Chief Executive Officer;</w:t>
      </w:r>
    </w:p>
    <w:p>
      <w:pPr>
        <w:spacing w:after="0" w:line="27" w:lineRule="exact"/>
        <w:rPr>
          <w:rFonts w:ascii="Times New Roman" w:cs="Times New Roman" w:eastAsia="Times New Roman" w:hAnsi="Times New Roman"/>
          <w:sz w:val="18"/>
          <w:szCs w:val="18"/>
          <w:color w:val="auto"/>
        </w:rPr>
      </w:pPr>
    </w:p>
    <w:p>
      <w:pPr>
        <w:ind w:left="1100" w:hanging="647"/>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Tardugno, our Executive Chairman and former President and Chief Executive Officer;</w:t>
      </w:r>
    </w:p>
    <w:p>
      <w:pPr>
        <w:spacing w:after="0" w:line="9" w:lineRule="exact"/>
        <w:rPr>
          <w:rFonts w:ascii="Times New Roman" w:cs="Times New Roman" w:eastAsia="Times New Roman" w:hAnsi="Times New Roman"/>
          <w:sz w:val="18"/>
          <w:szCs w:val="18"/>
          <w:color w:val="auto"/>
        </w:rPr>
      </w:pPr>
    </w:p>
    <w:p>
      <w:pPr>
        <w:ind w:left="1100" w:hanging="647"/>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Corinne Le Goff, our former President and Chief Executive Officer;</w:t>
      </w:r>
    </w:p>
    <w:p>
      <w:pPr>
        <w:spacing w:after="0" w:line="9" w:lineRule="exact"/>
        <w:rPr>
          <w:rFonts w:ascii="Times New Roman" w:cs="Times New Roman" w:eastAsia="Times New Roman" w:hAnsi="Times New Roman"/>
          <w:sz w:val="18"/>
          <w:szCs w:val="18"/>
          <w:color w:val="auto"/>
        </w:rPr>
      </w:pPr>
    </w:p>
    <w:p>
      <w:pPr>
        <w:ind w:left="1100" w:hanging="647"/>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Khursheed Anwer, our Executive Vice President and Chief Scientific Officer;</w:t>
      </w:r>
    </w:p>
    <w:p>
      <w:pPr>
        <w:spacing w:after="0" w:line="9" w:lineRule="exact"/>
        <w:rPr>
          <w:rFonts w:ascii="Times New Roman" w:cs="Times New Roman" w:eastAsia="Times New Roman" w:hAnsi="Times New Roman"/>
          <w:sz w:val="18"/>
          <w:szCs w:val="18"/>
          <w:color w:val="auto"/>
        </w:rPr>
      </w:pPr>
    </w:p>
    <w:p>
      <w:pPr>
        <w:ind w:left="1100" w:hanging="647"/>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Gaiero, our Chief Financial Officer; and</w:t>
      </w:r>
    </w:p>
    <w:p>
      <w:pPr>
        <w:spacing w:after="0" w:line="9" w:lineRule="exact"/>
        <w:rPr>
          <w:rFonts w:ascii="Times New Roman" w:cs="Times New Roman" w:eastAsia="Times New Roman" w:hAnsi="Times New Roman"/>
          <w:sz w:val="18"/>
          <w:szCs w:val="18"/>
          <w:color w:val="auto"/>
        </w:rPr>
      </w:pPr>
    </w:p>
    <w:p>
      <w:pPr>
        <w:ind w:left="1100" w:hanging="647"/>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Church, our former Executive Vice President, Chief Financial Officer and Corporate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for services rendered in all capacities during the years ended December 31, 2024 and 2023, awarded to, paid to, or earned by each “Named Executive Officer.” All compensation awarded to, earned by, or paid to IMUNON’s Named Executive Officers is included in the table below for the years ended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5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8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Awards(1)</w:t>
            </w:r>
          </w:p>
        </w:tc>
        <w:tc>
          <w:tcPr>
            <w:tcW w:w="100" w:type="dxa"/>
            <w:vAlign w:val="bottom"/>
          </w:tcPr>
          <w:p>
            <w:pPr>
              <w:spacing w:after="0"/>
              <w:rPr>
                <w:sz w:val="20"/>
                <w:szCs w:val="20"/>
                <w:color w:val="auto"/>
              </w:rPr>
            </w:pP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2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Stacy Lindborg (5)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341,954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335,641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705,839</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&amp; CEO</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Tardugno (6)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336,639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213,072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559,810</w:t>
            </w:r>
          </w:p>
        </w:tc>
      </w:tr>
      <w:tr>
        <w:trPr>
          <w:trHeight w:val="198"/>
        </w:trPr>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Executive Chairman &amp;</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interim CEO</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Corinne Le Goff (7)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148,869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148,869</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President and CEO</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658,080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107,775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274,959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1,055,814</w:t>
            </w:r>
          </w:p>
        </w:tc>
      </w:tr>
      <w:tr>
        <w:trPr>
          <w:trHeight w:val="216"/>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Khursheed Anwer (8)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385,610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87.678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149,125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622,413</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VP &amp; CSO</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412,760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47,900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125,281</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94,218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680,159</w:t>
            </w:r>
          </w:p>
        </w:tc>
      </w:tr>
      <w:tr>
        <w:trPr>
          <w:trHeight w:val="216"/>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David Gaiero (9)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280,000</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Jeffrey Church (10)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251,337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498,615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759,768</w:t>
            </w:r>
          </w:p>
        </w:tc>
      </w:tr>
      <w:tr>
        <w:trPr>
          <w:trHeight w:val="198"/>
        </w:trPr>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Former Executive VP &amp;</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441,296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47,900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115,726</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679,922</w:t>
            </w:r>
          </w:p>
        </w:tc>
      </w:tr>
    </w:tbl>
    <w:p>
      <w:pPr>
        <w:spacing w:after="0" w:line="198" w:lineRule="exact"/>
        <w:rPr>
          <w:sz w:val="20"/>
          <w:szCs w:val="20"/>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restricted stock awards is the aggregate grant date fair value of restricted stock granted to the Named Executive Officer in the year shown, determined in accordance with FASB ASC Topic 718.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both"/>
        <w:ind w:left="380" w:hanging="372"/>
        <w:spacing w:after="0" w:line="258"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option awards is the aggregate grant date fair value of stock options granted to the Named Executive Officers in the years shown, determined in accordance with FASB ASC Topic 718, disregarding adjustments for forfeiture assumptions. The assumptions for making the valuation determinations are set forth in Note 11 to the Company’s financial statements for the years ended December 31, 2024 and December 31, 2023 included in the Company’s Annual Reports on Form 10-K for each of those years. With respect to Dr. Lindborg, the column includes the annual grant of options to Dr. Lindborg as part of the non-employee director compensation program.</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4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bonuses under our annual incentive program are based on the achievement of specific performance measures established at the beginning of the fiscal year by our Compensation Committee. Historically, our Compensation Committee has awarded the annual incentive bonus for each year in the first quarter of the following year. Our Compensation Committee has not approved the amount and the payment of the incentive bonus for 2024 for each of the Named Executive Officers in the form of stock awards and Non-Equity (Cash) Incentive Plan Compensation.</w:t>
      </w:r>
    </w:p>
    <w:p>
      <w:pPr>
        <w:spacing w:after="0" w:line="179"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other compensation as indicated below and matching and discretionary contributions made by the Company for the Named Executive Officers under our 401(k) plan. Our matching contribution is equal to 50% of the employee’s deferrals under the plan up to 6% of the employee’s compensation, subject to applicable IRS limitations, and are made in shares of our common stock.</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77" w:lineRule="auto"/>
        <w:tabs>
          <w:tab w:leader="none" w:pos="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Lindborg, a director since 2021, joined the Company as President and Chief Executive Officer, effective as of May 13, 2024. Dr. Lindborg became a Named Executive Officer for the first time in 2024. For Dr. Lindborg, the amount in the “Salary” column reflects $14,838 that Dr. Lindborg received as her cash retainer for her service as a non-employee director prior to becoming the Company’s President and CEO in May 2024, as well as the base salary amount received by Dr. Lindborg during fiscal year 2024, which was pro-rated for the time served in her employee positions during fiscal year 2024. For Dr. Lindborg “All Other Compensation” for 2024 consists of a 401(k)-plan matching contribution of $1,745 in our common stock.</w:t>
      </w:r>
    </w:p>
    <w:p>
      <w:pPr>
        <w:spacing w:after="0" w:line="167" w:lineRule="exact"/>
        <w:rPr>
          <w:rFonts w:ascii="Times New Roman" w:cs="Times New Roman" w:eastAsia="Times New Roman" w:hAnsi="Times New Roman"/>
          <w:sz w:val="17"/>
          <w:szCs w:val="17"/>
          <w:color w:val="auto"/>
        </w:rPr>
      </w:pPr>
    </w:p>
    <w:p>
      <w:pPr>
        <w:ind w:left="380" w:hanging="372"/>
        <w:spacing w:after="0" w:line="282" w:lineRule="auto"/>
        <w:tabs>
          <w:tab w:leader="none" w:pos="4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Tardugno, the Company’s Executive Chairman, served as the Company’s interim Chief Executive Officer from March 15, 2024 until May 13, 2024. For Mr. Tardugno, “All Other Compensation” for 2024 consists of a 401(k)-plan matching contribution of $10,099 in our common stock.</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4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Le Goff joined the Company as President and Chief Executive Officer and as a director, effective as of July 18, 2022, and stepped down from these positions, effective March 15, 2024. For Dr. Le Goff, the amount in the “Salary” column reflects the base salary amount received by Dr. Le Goff during fiscal year 2024, which was pro-rated for the time served in her employee positions during fiscal year 2024.</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4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Anwer, “All Other Compensation” for 2024 consists of $133,000 for a retention bonus paid in July 2024, $5,775 for discretionary spending allowance and a 401(k)-plan matching contribution of $10,350 in our common stock.</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Gaiero joined the Company as Chief Financial Officer, effective as of June 1, 2024. For Mr. Gaiero, the amount in the “Salary” column reflects the pro-rated amount received by Monomoy Advisors, LLC for the time served by Mr. Gaiero in his position of CFO during fiscal year 2024.</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4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Church retired from the positions of Executive Vice President and Chief Financial Officer, effective as of June 1, 2024. For Mr. Church, the amount in the “Salary” column reflects the base salary amount received by Mr. Church during fiscal year 2024, which was pro-rated for the time served in his employee positions during fiscal year 2024. For Mr. Church “All Other Compensation” for 2024 consists of $428,615 in severance paid, in connection with his retirement, and $70,000 for consulting services he provided in 2024 post-retirement.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Narrative Disclosure to 2024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Stacy R. Lindborg, Ph.D.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Dr. Lindborg entered into an employment agreement effective as of May 31, 2024, in connection with her appointment as President and Chief Executive Officer. Pursuant to the Employment Agreement, the Company agreed to pay Dr. Lindborg an initial salary of $567,000 and a targeted annual performance bonus of 100% of her annual base salary (pro-rated for the year ended December 31, 2024). Dr. Lindborg also received (i) an option to purchase 112,500 shares of the Company’s common stock and (ii) an additional option to purchase 112,500 shares of the Company’s common stock following the Company’s 2024 annual meeting of stockholders. Both stock options will vest in equal fourths over four years, with the first 28,125 options vesting on the first anniversary of the date of grant and the remaining three-fourths vesting in equal parts on subsequent anniversaries of the grant date. Dr. Lindborg is eligible to receive a sign-on bonus from the Company of $200,000 subject to certain conditions. Dr. Lindborg’s initial term of employment pursuant to the Employment Agreement is one year, to be extended automatically by an additional year at the end of such term and each subsequent one-year term absent three months’ prior written notice by Dr. Lindborg or the Company. Following the effective date of her employment with the Company, Dr. Lindborg did not receive any additional compensation for her service on the Board. Dr. Lindborg’s employment agreement provides that, upon a termination of Dr. Lindborg’s employment by the Company without “cause” or by Dr. Lindborg for “good reason,” as each such term is defined in her employment agreement: (x) outside the Change in Control Protection Period (as defined in the employment agreement), (i) Dr. Lindborg will be entitled to receive an amount equal to 12 months of her then-current base salary, payable in equal monthly installments during the 12-month period following such termination and reimbursement of her COBRA premiums for up to 12 months, and (ii) all of her options and similar awards would generally remain exercisable for the remainder of the original term of the award, and (y) during the Change in Control Protection Period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 Dr. Lindborg will be entitled to receive an amount equal to 24 months of her then-current base salary, payable in equal monthly installments during the 12-month period following such termination and reimbursement of her COBRA premiums for up to 12 months, (ii) full acceleration of then-unvested portions of the options awarded to Dr. Lindborg in connection with her appointment as CEO and (iii) all of her options and similar awards would generally remain exercisable for the remainder of the original term of the award.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Corinne Le Goff</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Dr. Le Goff entered into an employment agreement effective as of July 18, 2022, in connection with her appointment as President and Chief Executive Officer, Pursuant to the employment agreement, the Company agreed to pay Dr. Le Goff an initial salary of $624,000 and a signing bonus $50,000. Dr. Le Goff’s targeted annual performance bonus was 72% of her annual base salary (pro-rated for the year ended December 31, 2022). Dr. Le Goff also received (i) an option to purchase 177,000 shares of the Company’s common stock that vested with respect to 25% of the subject shares on July 18, 2023 and the remaining 75% percent to vest in equal quarterly installments thereafter such that the stock option would be fully vested and exercisable as of the fourth anniversary of July 18, 2022, and (ii) a restricted stock award of 53,000 restricted shares that vested on July 18, 2023. Dr. Le Goff did not receive any additional compensation for her service on the Board. The agreement had no set term of employment and provided that in the event of termination by the Company other than for cause, Dr. Le Goff would receive an amount equal to one year’s salary as severance payment. Effective March 15, 2024, Dr. Le Goff resigned from her positions as President, Chief Executive Officer and Director of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Michael H. Tardugno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July 18, 2022, Mr. Tardugno transitioned from his roles as Chairman, President and Chief Executive Officer to the position of Executive Chairman of the Board. Mr. Tardugno and the Company entered into an employment agreement, effective as of July 18, 2022, that superseded the previous employment agreement with Mr. Tardugno. The agreement has a term ending on December 31, 2024, with the option for a one-year extension that was exercised. Under the agreement, the Company agreed to pay Mr. Tardugno a base salary of $500,000 (prorated to $240,000) for 2022 and a base salary of $350,000 for 2023 and 2024, and to reimburse him for all reasonable business expenses. Mr. Tardugno remains eligible for annual performance bonuses and equity awards and may participate in all compensation and benefit programs generally made available to other senior executives. In the event of termination by the Company other than for cause, Mr. Tardugno will receive an amount equal to one year’s salary as a severance 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Monomoy Advisors,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Monomoy Advisors, LLC (“Monomoy”), a financial advisory services firm, entered into a professional consulting agreement, effective as of June 1, 2024, in connection with the appointment of David Gaiero as the Company’s Chief Financial Officer. Pursuant to the Agreement, the Company agreed to pay Monomoy $35,000 per month for Mr. Gaiero’s service as the Company’s Chief Financial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and Consulting Agreement with Jeffrey Church</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June 1, 2024, Mr. Church retired from his roles as Executive Vice President, Chief Financial Officer and Corporate Secretary. On May 17, 2024, the Company and Mr. Church entered into a retirement and consulting agreement (the “Retirement and Consulting Agreement”) that superseded the previous employment agreement with Mr. Church, pursuant to which he agreed to provide the Company consulting services for a term ending on December 31, 2024, with an option for an agreed upon extension (the “Consulting Period”). During the Consulting Period, the Company agreed to pay Mr. Church a monthly retainer of $10,000, plus an additional $250 for each hour of services performed in excess of 40 hours per month. In addition, pursuant to the Retirement and Consulting Agreement, Mr. Church received (i) within 30 days following his Retirement Date, any accrued but unpaid salary and any unreimbursed business expenses incurred prior to his Retirement Date and (ii) a retirement bonus in the amount of $428,615. Mr. Church also remained eligible to receive a pro-rated bonus for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Offer Letter with Khursheed Anwer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Dr. Anwer entered into an employment offer letter effective as of June 20, 2014. Dr. Anwer’s employment with us is “at-will”; however, subject to the retention and severance agreement between the Company and Dr. Anwer dated as of May 28, 2014, if we terminate Dr. Anwer’s employment without cause (as such term is defined in the retention and severance agreement), he will be entitled to receive cash severance equal to 12 months of his base salary and reimbursement of his COBRA premiums for up to 12 months. Dr. Anwer’s right to receive these severance benefits is subject to his providing a release of claims in favor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CIC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an amended and restated double-trigger change in control severance agreement (CIC Agreement) with Mr. Tardugno to provide severance benefits to him should his employment terminate in certain circumstances in connection with a change in control of the Company (a “CIC”).</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amended and restated CIC Agreements, in the event that, on or within two years after a CIC, we terminate the executive’s employment without cause or in the event that the executive terminates his employment for good reason, the executive would be entitled to receive a cash lump sum payment equal to two (2) times the sum of (1) the executive’s annual base salary and (2) the executive’s target annual bonus for the fiscal year in which the termination occurs. (For these purposes, the terms “cause,” “good reason” and “change in control” are each defined in the CIC Agreement.) In addition, we will pay or reimburse the executive for the cost of COBRA premiums and life insurance coverage for the executive and his eligible dependents, in each case for a period of up to two years following the termination. The executive would also be entitled to full acceleration of his then-outstanding equity awards granted to him by us. However, as to any equity award agreement that is subject to performance-based vesting requirements, the vesting of such an award will continue to be governed by its terms. In the case of options or similar awards, the award would generally remain exercisable for the remainder of the original term of the award (or, in the case of awards that vested after the date of the CIC, for the lesser of 12 months following the last day such award would have been exercisable under the applicable award agreement and the remainder of the original term). The benefits provided under the CIC Agreement are in addition to, and not in lieu of, any severance benefits the executive may be entitled to receive in connection with the termination of his employment under any other agreement with the Company. The executive’s right to benefits under the CIC Agreement is subject to his execution of a release of claims in favor of the Company upon the termination of his employment. The CIC Agreements do not provide for any tax gross ups.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Equity Grants During 2024</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the equity awards granted to the Named Executive Officers in 2024 was granted under, and is subject to, the terms of the IMUNON, INC. 2018 Stock Incentive Plan (the “2018 Plan”). The 2018 Plan is administered by the Compensation Committee, which has authority to interpret the plan provisions and make all required determinations under the plan. This authority includes making required proportionate adjustments to outstanding awards upon the occurrence of certain corporate events such as reorganizations, mergers, and stock splits, and making provision to ensure that any tax withholding obligations incurred in respect of awards are satisfied. Awards granted under the plan are generally only transferable to a beneficiary of a Named Executive Officer upon his death. Under the terms of the 2018 Plan, if there is a change in control of the Company, each Named Executive Officer’s outstanding awards granted under the plan will generally terminate, unless the Compensation Committee provides for the substitution, assumption, exchange or other continuation or settlement (in cash, securities, or property) of the outstanding awards. The Compensation Committee has the discretion to provide for outstanding awards to become vested in connection with a change in control. The Compensation Committee does not take material nonpublic information into account when determining the timing and terms of equity awards. The Company does not time the disclosure of material nonpublic information for the purpose of affecting the value of executive compensation.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option granted to the Named Executive Officers in 2024 was granted with a per-share exercise price equal to the closing price of our common stock on the grant date. Each option is scheduled to vest in three installments, with one-half vesting on the date of grant and one-fourth vesting on the first and second anniversary of the date of the grant, subject in each case to the executive’s continued employment through the applicable vesting date and has a maximum term of ten years. However, vested options may terminate earlier in connection with a change in control transaction or a termination of the Named Executive Officer’s employment. Subject to any accelerated vesting that may apply in the circumstances, the unvested portion of the option will immediately terminate upon a termination of the Named Executive Officer’s employment.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share of restricted stock granted to Dr. Lindborg in 2024 is scheduled to fully vest on the first anniversary of the grant date, subject to the executive’s continued employment through the applicable vesting date. Subject to any accelerated vesting that may apply in the circumstances, the unvested portion of the restricted stock will immediately terminate upon the termination of the Named Executive Officer’s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stock options and restricted stock shares granted to our named executive officers in the 2024 fiscal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2024 Stock Options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2024 Restricted Stock</w:t>
            </w:r>
          </w:p>
        </w:tc>
      </w:t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Granted</w:t>
            </w: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Stacy Lindborg</w:t>
            </w:r>
          </w:p>
        </w:tc>
        <w:tc>
          <w:tcPr>
            <w:tcW w:w="3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293,102</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Michael Tardugno</w:t>
            </w:r>
          </w:p>
        </w:tc>
        <w:tc>
          <w:tcPr>
            <w:tcW w:w="57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207,926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Corinne Le Goff</w:t>
            </w:r>
          </w:p>
        </w:tc>
        <w:tc>
          <w:tcPr>
            <w:tcW w:w="57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Khursheed Anwer</w:t>
            </w:r>
          </w:p>
        </w:tc>
        <w:tc>
          <w:tcPr>
            <w:tcW w:w="57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90,653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Gaiero</w:t>
            </w:r>
          </w:p>
        </w:tc>
        <w:tc>
          <w:tcPr>
            <w:tcW w:w="57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Jeff Church</w:t>
            </w:r>
          </w:p>
        </w:tc>
        <w:tc>
          <w:tcPr>
            <w:tcW w:w="57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12,500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37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2024 Outstanding Equity Awards at Year-End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the Company’s common stock underlying outstanding equity incentive plan awards for each Named Executive Officer as of December 31, 2024. None of the Named Executive Officers held any other outstanding stock awards as of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No. of Securities</w:t>
            </w: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No. of Securities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80" w:type="dxa"/>
            <w:vAlign w:val="bottom"/>
          </w:tcPr>
          <w:p>
            <w:pPr>
              <w:spacing w:after="0"/>
              <w:rPr>
                <w:sz w:val="18"/>
                <w:szCs w:val="18"/>
                <w:color w:val="auto"/>
              </w:rPr>
            </w:pPr>
          </w:p>
        </w:tc>
        <w:tc>
          <w:tcPr>
            <w:tcW w:w="15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 Exercise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9"/>
        </w:trPr>
        <w:tc>
          <w:tcPr>
            <w:tcW w:w="2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 H. Tardugno</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10/3/2019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4,333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3/04/2022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90,000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6/13/2032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3/17/2023</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940" w:type="dxa"/>
            <w:vAlign w:val="bottom"/>
            <w:gridSpan w:val="4"/>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16,667</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8,333</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280" w:type="dxa"/>
            <w:vAlign w:val="bottom"/>
            <w:shd w:val="clear" w:color="auto" w:fill="CCEEFF"/>
          </w:tcPr>
          <w:p>
            <w:pPr>
              <w:jc w:val="right"/>
              <w:ind w:right="115"/>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1.32</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3/17/2033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8"/>
              </w:rPr>
              <w:t>3/15/2024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940" w:type="dxa"/>
            <w:vAlign w:val="bottom"/>
            <w:gridSpan w:val="4"/>
            <w:shd w:val="clear" w:color="auto" w:fill="CCEEFF"/>
          </w:tcPr>
          <w:p>
            <w:pPr>
              <w:jc w:val="right"/>
              <w:ind w:right="320"/>
              <w:spacing w:after="0" w:line="171" w:lineRule="exact"/>
              <w:rPr>
                <w:sz w:val="20"/>
                <w:szCs w:val="20"/>
                <w:color w:val="auto"/>
              </w:rPr>
            </w:pPr>
            <w:r>
              <w:rPr>
                <w:rFonts w:ascii="Times New Roman" w:cs="Times New Roman" w:eastAsia="Times New Roman" w:hAnsi="Times New Roman"/>
                <w:sz w:val="18"/>
                <w:szCs w:val="18"/>
                <w:color w:val="auto"/>
              </w:rPr>
              <w:t>6,250</w:t>
            </w:r>
          </w:p>
        </w:tc>
        <w:tc>
          <w:tcPr>
            <w:tcW w:w="13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6,250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shd w:val="clear" w:color="auto" w:fill="CCEEFF"/>
          </w:tcPr>
          <w:p>
            <w:pPr>
              <w:jc w:val="right"/>
              <w:ind w:right="115"/>
              <w:spacing w:after="0" w:line="17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0.86</w:t>
            </w:r>
          </w:p>
        </w:tc>
        <w:tc>
          <w:tcPr>
            <w:tcW w:w="112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3/15/2034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6/12/2024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940" w:type="dxa"/>
            <w:vAlign w:val="bottom"/>
            <w:gridSpan w:val="4"/>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50,000</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50,000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shd w:val="clear" w:color="auto" w:fill="CCEEFF"/>
          </w:tcPr>
          <w:p>
            <w:pPr>
              <w:jc w:val="right"/>
              <w:ind w:right="11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1.22</w:t>
            </w:r>
          </w:p>
        </w:tc>
        <w:tc>
          <w:tcPr>
            <w:tcW w:w="11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6/12/2034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9/6/2024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41,463</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41,463</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shd w:val="clear" w:color="auto" w:fill="CCEEFF"/>
          </w:tcPr>
          <w:p>
            <w:pPr>
              <w:jc w:val="right"/>
              <w:ind w:right="11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1.04</w:t>
            </w:r>
          </w:p>
        </w:tc>
        <w:tc>
          <w:tcPr>
            <w:tcW w:w="11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9/6/2034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12/18/2024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6,250</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6,250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shd w:val="clear" w:color="auto" w:fill="CCEEFF"/>
          </w:tcPr>
          <w:p>
            <w:pPr>
              <w:jc w:val="right"/>
              <w:ind w:right="11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0.83</w:t>
            </w:r>
          </w:p>
        </w:tc>
        <w:tc>
          <w:tcPr>
            <w:tcW w:w="11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12/18/2034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2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Stacy R. Lindborg PhD</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6/4/2021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6/4/2031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3/4/2022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3/4/2034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6/13/2032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3/17/2023</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940" w:type="dxa"/>
            <w:vAlign w:val="bottom"/>
            <w:gridSpan w:val="4"/>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1,333</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667</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280" w:type="dxa"/>
            <w:vAlign w:val="bottom"/>
            <w:shd w:val="clear" w:color="auto" w:fill="CCEEFF"/>
          </w:tcPr>
          <w:p>
            <w:pPr>
              <w:jc w:val="right"/>
              <w:ind w:right="115"/>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1.32</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3/17/2033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8"/>
              </w:rPr>
              <w:t>3/15/2024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940" w:type="dxa"/>
            <w:vAlign w:val="bottom"/>
            <w:gridSpan w:val="4"/>
            <w:shd w:val="clear" w:color="auto" w:fill="CCEEFF"/>
          </w:tcPr>
          <w:p>
            <w:pPr>
              <w:jc w:val="right"/>
              <w:ind w:right="320"/>
              <w:spacing w:after="0" w:line="171" w:lineRule="exact"/>
              <w:rPr>
                <w:sz w:val="20"/>
                <w:szCs w:val="20"/>
                <w:color w:val="auto"/>
              </w:rPr>
            </w:pPr>
            <w:r>
              <w:rPr>
                <w:rFonts w:ascii="Times New Roman" w:cs="Times New Roman" w:eastAsia="Times New Roman" w:hAnsi="Times New Roman"/>
                <w:sz w:val="18"/>
                <w:szCs w:val="18"/>
                <w:color w:val="auto"/>
              </w:rPr>
              <w:t>2,250</w:t>
            </w:r>
          </w:p>
        </w:tc>
        <w:tc>
          <w:tcPr>
            <w:tcW w:w="13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2,250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shd w:val="clear" w:color="auto" w:fill="CCEEFF"/>
          </w:tcPr>
          <w:p>
            <w:pPr>
              <w:jc w:val="right"/>
              <w:ind w:right="115"/>
              <w:spacing w:after="0" w:line="17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0.86</w:t>
            </w:r>
          </w:p>
        </w:tc>
        <w:tc>
          <w:tcPr>
            <w:tcW w:w="112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3/15/2034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5/13/2024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940" w:type="dxa"/>
            <w:vAlign w:val="bottom"/>
            <w:gridSpan w:val="4"/>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112,500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shd w:val="clear" w:color="auto" w:fill="CCEEFF"/>
          </w:tcPr>
          <w:p>
            <w:pPr>
              <w:jc w:val="right"/>
              <w:ind w:right="11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1.48</w:t>
            </w:r>
          </w:p>
        </w:tc>
        <w:tc>
          <w:tcPr>
            <w:tcW w:w="11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5/13/2034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6/12/2024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112,500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shd w:val="clear" w:color="auto" w:fill="CCEEFF"/>
          </w:tcPr>
          <w:p>
            <w:pPr>
              <w:jc w:val="right"/>
              <w:ind w:right="11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1.22</w:t>
            </w:r>
          </w:p>
        </w:tc>
        <w:tc>
          <w:tcPr>
            <w:tcW w:w="11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6/12/2034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9/6/2024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31,801</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31,801</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shd w:val="clear" w:color="auto" w:fill="CCEEFF"/>
          </w:tcPr>
          <w:p>
            <w:pPr>
              <w:jc w:val="right"/>
              <w:ind w:right="11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1.04</w:t>
            </w:r>
          </w:p>
        </w:tc>
        <w:tc>
          <w:tcPr>
            <w:tcW w:w="11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9/6/2034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9/6/2024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25,000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2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Church</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10/3/2019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33,333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6/13/2032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3/17/2023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26,667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3/17/2033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3/15/2024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Khursheed Anwer</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10/3/2019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3/04/2022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6/13/2032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3/17/2023</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940" w:type="dxa"/>
            <w:vAlign w:val="bottom"/>
            <w:gridSpan w:val="4"/>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26,667</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13,333</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280" w:type="dxa"/>
            <w:vAlign w:val="bottom"/>
            <w:shd w:val="clear" w:color="auto" w:fill="CCEEFF"/>
          </w:tcPr>
          <w:p>
            <w:pPr>
              <w:jc w:val="right"/>
              <w:ind w:right="115"/>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1.32</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3/17/2033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8"/>
              </w:rPr>
              <w:t>3/15/2024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940" w:type="dxa"/>
            <w:vAlign w:val="bottom"/>
            <w:gridSpan w:val="4"/>
            <w:shd w:val="clear" w:color="auto" w:fill="CCEEFF"/>
          </w:tcPr>
          <w:p>
            <w:pPr>
              <w:jc w:val="right"/>
              <w:ind w:right="320"/>
              <w:spacing w:after="0" w:line="171" w:lineRule="exact"/>
              <w:rPr>
                <w:sz w:val="20"/>
                <w:szCs w:val="20"/>
                <w:color w:val="auto"/>
              </w:rPr>
            </w:pPr>
            <w:r>
              <w:rPr>
                <w:rFonts w:ascii="Times New Roman" w:cs="Times New Roman" w:eastAsia="Times New Roman" w:hAnsi="Times New Roman"/>
                <w:sz w:val="18"/>
                <w:szCs w:val="18"/>
                <w:color w:val="auto"/>
              </w:rPr>
              <w:t>12,500</w:t>
            </w:r>
          </w:p>
        </w:tc>
        <w:tc>
          <w:tcPr>
            <w:tcW w:w="13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12,500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shd w:val="clear" w:color="auto" w:fill="CCEEFF"/>
          </w:tcPr>
          <w:p>
            <w:pPr>
              <w:jc w:val="right"/>
              <w:ind w:right="115"/>
              <w:spacing w:after="0" w:line="17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0.86</w:t>
            </w:r>
          </w:p>
        </w:tc>
        <w:tc>
          <w:tcPr>
            <w:tcW w:w="112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3/15/2034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6/12/2024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940" w:type="dxa"/>
            <w:vAlign w:val="bottom"/>
            <w:gridSpan w:val="4"/>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12,500</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12,500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shd w:val="clear" w:color="auto" w:fill="CCEEFF"/>
          </w:tcPr>
          <w:p>
            <w:pPr>
              <w:jc w:val="right"/>
              <w:ind w:right="11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1.22</w:t>
            </w:r>
          </w:p>
        </w:tc>
        <w:tc>
          <w:tcPr>
            <w:tcW w:w="11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6/12/2034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9/6/2024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940" w:type="dxa"/>
            <w:vAlign w:val="bottom"/>
            <w:gridSpan w:val="4"/>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20,327</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20,327</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shd w:val="clear" w:color="auto" w:fill="CCEEFF"/>
          </w:tcPr>
          <w:p>
            <w:pPr>
              <w:jc w:val="right"/>
              <w:ind w:right="11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1.04</w:t>
            </w:r>
          </w:p>
        </w:tc>
        <w:tc>
          <w:tcPr>
            <w:tcW w:w="11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9/6/2034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 in three equal installments, with one-third of the grant vesting each immediately, on the first anniversary, and on the second anniversary of the date of grant.</w:t>
      </w:r>
    </w:p>
    <w:p>
      <w:pPr>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 one half of the grant vesting on date of grant and one-fourth on the first and second anniversary of the date of grant.</w:t>
      </w: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Lindborg received a restricted stock grant, which vests fully on the first anniversary of date of the grant.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Non-Employee Director Compensation Table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cash and non-cash compensation paid to the Company’s directors who were not employed by the Company or any of its subsidiaries (“Non-Employee Directors”) for the year ended December 31, 2024. Other than as set forth in the table, we did not pay any compensation, make any equity awards or non-equity awards to, or pay any other compensation to any of the Non-Employee Directors in 2024. The compensation paid to any director who was also one of our employees during fiscal year 2024 is presented in the “2024 Summary Compensation Table” and the information that follows that table. Such employee directors did not receive separate compensation for their service on the Board of Directors or any of its Committees (other than Dr. Lindborg prior to her appointment as CEO and President of the Company as described in Footnote (1)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2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7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(1)</w:t>
            </w:r>
          </w:p>
        </w:tc>
        <w:tc>
          <w:tcPr>
            <w:tcW w:w="17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(2)</w:t>
            </w:r>
          </w:p>
        </w:tc>
        <w:tc>
          <w:tcPr>
            <w:tcW w:w="320" w:type="dxa"/>
            <w:vAlign w:val="bottom"/>
          </w:tcPr>
          <w:p>
            <w:pPr>
              <w:spacing w:after="0"/>
              <w:rPr>
                <w:sz w:val="20"/>
                <w:szCs w:val="20"/>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2"/>
              </w:rPr>
              <w:t>51,839</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20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93,419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13,309</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106,728</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p>
        </w:tc>
        <w:tc>
          <w:tcPr>
            <w:tcW w:w="20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58,949</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12.651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71,600</w:t>
            </w: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A. Pellizzari</w:t>
            </w:r>
          </w:p>
        </w:tc>
        <w:tc>
          <w:tcPr>
            <w:tcW w:w="20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41,039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13,456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54,495</w:t>
            </w: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Lindborg did not participate in the non-employee director compensation program following her appointment as CEO and President of the Company. The compensation received by Dr. Lindborg during 2024, including the compensation received solely for her service as a non-employee director, is reported in the Summary Compensation Table above. Mr. Tardugno and Dr. Le Goff are not shown in this table because they were compensated as officers for the years shown and did not receive any additional director compensation.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Option Awards is the aggregate grant date fair value of stock options granted to each Director in 2024, determined in accordance with FASB ASC Topic 718. The assumptions for making the valuation determinations are set forth in Note 11 to our financial statements. As of December 31, 2024, Mr. Dentzer had 17,301 option awards outstanding; Mr. Fritz had 32,070 option awards outstanding; Dr. Braun had 28,905 option awards outstanding; and Ms. Pellizzari had 23,630 option awards outstanding.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stock option grants awarded to the Company’s Non-Employee Directors for the year ended December 31, 2024. Employee directors do not receive separate equity awards for service on the Board of Directors or any of the Board committees. Dr. Lindborg did not participate in the non-employee director compensation program following her appointment as CEO and President of the Company. Equity awards received by Dr. Lindborg during 2024 for her service as a non-employee director are reported in the Summary Compensation Table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80" w:type="dxa"/>
            <w:vAlign w:val="bottom"/>
            <w:tcBorders>
              <w:bottom w:val="single" w:sz="8" w:color="auto"/>
            </w:tcBorders>
            <w:gridSpan w:val="9"/>
          </w:tcPr>
          <w:p>
            <w:pPr>
              <w:ind w:left="1060"/>
              <w:spacing w:after="0"/>
              <w:rPr>
                <w:sz w:val="20"/>
                <w:szCs w:val="20"/>
                <w:color w:val="auto"/>
              </w:rPr>
            </w:pPr>
            <w:r>
              <w:rPr>
                <w:rFonts w:ascii="Times New Roman" w:cs="Times New Roman" w:eastAsia="Times New Roman" w:hAnsi="Times New Roman"/>
                <w:sz w:val="18"/>
                <w:szCs w:val="18"/>
                <w:b w:val="1"/>
                <w:bCs w:val="1"/>
                <w:color w:val="auto"/>
              </w:rPr>
              <w:t>Non-Employee Director Stock Option and Grant Awards Table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Options Granted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188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4,500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4,500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3,634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188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3,500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3,500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6,737</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p>
        </w:tc>
        <w:tc>
          <w:tcPr>
            <w:tcW w:w="188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3,500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3,500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6,072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A. Pellizzari</w:t>
            </w:r>
          </w:p>
        </w:tc>
        <w:tc>
          <w:tcPr>
            <w:tcW w:w="188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4,500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4,500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4,964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vests with one-half of the grant vesting on the date of grant and one fourth of the grant vesting on each of the first and second anniversary of the date of grant, subject to the applicable director’s continued service as a member of our Board through each applicable vesting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each Non-Employee Director of the Company received annual cash compensation in the amount of $27,450 payable in quarterly installments, and an additional $1,980 for attendance at regular meetings of the Board of Directors and $1,080 for each meeting of a committee of the Board of Directors that was not held in conjunction with a meeting of the Board of Directors. Each Non-Employee director is reimbursed for the out-of-pocket costs of attending meetings of the Board of Directors and of committees of the Board of Directors. In 2024, the Chairman of the Audit Committee received an additional annual cash fee of $12,150 and the Chairman of the Compensation Committee received an additional annual cash fee of $9,450.</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Acting on behalf of the Board of Directors, Mr. Fritz also received fees totaling $43,200 in 2024 for his role as a Board Liaison to our Board of Directors. Mr. Fritz’s responsibilities as Board Liaison include the following: (i) serve as an initial sounding board for our management regarding issues, matters, or communications to be brought or potentially to be brought before the Board of Directors; (ii) provide input and feedback to management regarding strategic matters, business matters, major scientific, clinical, collaboration, or corporate development matters, key personnel matters, or other items of significance regarding which management would like to obtain initial or further Board guidance, including, but not limited to, guidance regarding timing and content of communications regarding such matters or items with the full Board or any of its committees; (iii) remain accessible to management to provide guidance on business or strategy issues or other issues of significance on an as-needed basis; (iv) participate in meetings and relevant discussions as requested by management; (v) conduct general advisory or liaison services to the Board, including relaying to management requests from other members of the Board regarding desired additional information or clarification or suggestions or feedback regarding improvement in Board processes or communications; (vi) serve as a conduit for informal communications between management and the Board; and (vii) any other such services established by the Board from time to time.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Acting on behalf of our Board of Directors, Dr. Braun also received fees totaling $22,500 in 2024 for his role as a strategic advisor to our Executive Chairman and our Chief Executive Officer. Dr. Braun’s responsibilities as a strategic advisor include the following: (i) provide strategic and tactical advice to our Chief Executive Officer; (ii) evaluate international subsidiary options; (iii) develop strategies to secure business relationships other than in the U.S.; and (iv) having done both (ii) and (iii), develop high potential ex-US market strategies that address the objectives for broad and profitable sales of its commercial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 for Non-Employee and Executive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believes that, as a matter of sound corporate governance, non-employee and executive directors should have a significant personal financial stake in our performance. Consequently, in February 2011, our Board of Directors adopted stock ownership guidelines for non-employee and executive directors. Our corporate governance guidelines require that each non-employee director acquire and hold shares of our common stock having an aggregate value equal to two times the director’s total compensation in the first year of service and that our executive director acquire and hold shares of our common stock having an aggregate value equal to the executive director’s total compensation in the first year of service. Each director is expected to satisfy the applicable ownership guideline within three years after his or her appointment to the Board.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Shares of our common stock that count toward satisfaction of these ownership guidelines include, unless beneficial ownership therein is disclaimed: (i) shares owned outright by the director or executive officer or their immediate family members residing in the same household, whether held individually or jointly; (ii) shares held in a trust, family limited partnership or similar entity solely for the benefit of the director or executive officer and/or their immediate family members; (iii) shares of restricted stock and restricted stock units awarded under our equity incentive plans, including vested and unvested awards; and (iv) shares acquired upon stock option exercise, but not shares underlying unexercised stock options.</w:t>
      </w:r>
    </w:p>
    <w:p>
      <w:pPr>
        <w:spacing w:after="0" w:line="179"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furnished by the Company and sets forth certain information known to the Company regarding the beneficial ownership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as of February 21, 2025 by:</w:t>
      </w:r>
    </w:p>
    <w:p>
      <w:pPr>
        <w:spacing w:after="0" w:line="20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us to own beneficially more than 5% of the Company’s outstanding common stock;</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as well as each executive officer named in the Summary Compensation Table appearing under the heading “Executive Compensation;” and</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 beneficial ownership in accordance with the rules of the SEC. Under SEC rules, beneficial ownership for purposes of this table takes into account shares as to which the individual has voting or investment power (including shares held indirectly through the Imunon, Inc. 401(k) Plan), as well as shares that may be acquired within 60 days of February 21, 2025. Shares of common stock subject to options that are currently exercisable or that become exercisable within 60 days of February 21, 2025, are treated as outstanding and beneficially owned by the holder of such options. However, these shares are not treated as outstanding for purposes of computing the percentage ownership of any other person. Unless otherwise indicated or as to the interests of spouses, the persons included in the table have sole voting and investment power with respect to all shares beneficially owned thereby. Percentage ownership calculations are based on 14,620,732 shares outstanding as of February 21,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SHARES OF</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38"/>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 (1)</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(2)</w:t>
            </w:r>
          </w:p>
        </w:tc>
        <w:tc>
          <w:tcPr>
            <w:tcW w:w="160" w:type="dxa"/>
            <w:vAlign w:val="bottom"/>
            <w:tcBorders>
              <w:bottom w:val="single" w:sz="8" w:color="CCEEFF"/>
            </w:tcBorders>
          </w:tcPr>
          <w:p>
            <w:pPr>
              <w:spacing w:after="0"/>
              <w:rPr>
                <w:sz w:val="20"/>
                <w:szCs w:val="20"/>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Ayrton Capital LLC (3)</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Dentzer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12,109</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J. Fritz</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37,843</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48,841</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17,773</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 Tardugno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375,562</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Stacy Lindborg* (9)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72,898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Khursheed Anwer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147,265</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Church* (11)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77,172</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Eylward*</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Faller MD*</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Gaiero*</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Corrine LeGoff* (12)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53,000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 (12 persons) (13)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842,463</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r>
    </w:tbl>
    <w:p>
      <w:pPr>
        <w:spacing w:after="0" w:line="198" w:lineRule="exact"/>
        <w:rPr>
          <w:sz w:val="20"/>
          <w:szCs w:val="20"/>
          <w:color w:val="auto"/>
        </w:rPr>
      </w:pPr>
    </w:p>
    <w:p>
      <w:pPr>
        <w:ind w:right="1940" w:firstLine="8"/>
        <w:spacing w:after="0" w:line="500"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individuals named is c/o IMUNON, INC., 997 Lenox Drive, Suite 100, Lawrenceville, NJ 08648. ** Less than one percent.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Except as indicated by footnote, and subject to community property laws where applicable, the persons named in the table above have sole voting and investment power with respect to all shares of common stock shown as beneficially owned by them.</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14,620,732 shares of common stock outstanding as of February 21, 2025</w:t>
      </w:r>
    </w:p>
    <w:p>
      <w:pPr>
        <w:spacing w:after="0" w:line="225" w:lineRule="exact"/>
        <w:rPr>
          <w:rFonts w:ascii="Times New Roman" w:cs="Times New Roman" w:eastAsia="Times New Roman" w:hAnsi="Times New Roman"/>
          <w:sz w:val="18"/>
          <w:szCs w:val="18"/>
          <w:color w:val="auto"/>
        </w:rPr>
      </w:pPr>
    </w:p>
    <w:p>
      <w:pPr>
        <w:jc w:val="both"/>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 filed by Ayrton Capital, LLC (“Ayrton Capital”) on February 13, 2025, reporting beneficial ownership as of December 31, 2024 and represents shares of Common Stock issuable on the exercise of certain warrants held by the reporting persons. The Schedule 13G provides information only as of December 31, 2024, and, consequently, the beneficial ownership of the abovementioned reporting person may have changed between December 31, 2024 and February 21, 2025. Shares reported herein were held by Alto Opportunity Master Fund, SPC – Segregated Master Portfolio B, a Cayman Islands exempted company (the “Fund”). The Fund is a private investment vehicle for which Ayrton Capital LLC, a Delaware limited liability company (the “Investment Manager”), serves as the investment manager. Waqas Khatri serves as the managing member of the Investment Manager. The address of the principal business and office of Ayrton Capital LLC and its affiliates is 55 Post Rd West,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Westport Ct, 06880.</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12,109 shares of common stock underlying options currently exercisable or exercisable within 60 days of February 21, 2025.</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11,766 shares of common stock and 26,077 shares of common stock underlying options currently exercisable or exercisable within 60 days of February 21, 20255.</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25,597 shares of common stock and 23,244 shares of common stock underlying options currently exercisable or exercisable within 60 days of February 21, 2025.</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17,773 shares of common stock underlying options currently exercisable or exercisable within 60 days of February 21, 2025.</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69,141 shares of common stock and 306,421 shares of common stock underlying options currently exercisable or exercisable within 60 days of February 21, 2025.</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28,056 shares of common stock and 44,842 shares of common stock underlying options currently exercisable or exercisable within 60 days of February 21, 2025.</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12,855 shares of common stock and 134,410 shares of common stock underlying options currently exercisable or exercisable within 60 days of February 21, 2025.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2,338 shares of common stock and 74,834 shares of common stock underlying options currently exercisable or exercisable within 60 days of February 21, 2025.</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53,000 shares of common stock.</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202,753 of common stock and 639,710 shares of common stock underlying options currently exercisable or exercisable within 60 days of February 21,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404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23"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Equity compensation plans approved by securityholders Equity compensation plans not approved by securityholders</w:t>
      </w: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 reflected</w:t>
            </w:r>
          </w:p>
        </w:tc>
        <w:tc>
          <w:tcPr>
            <w:tcW w:w="0" w:type="dxa"/>
            <w:vAlign w:val="bottom"/>
          </w:tcPr>
          <w:p>
            <w:pPr>
              <w:spacing w:after="0"/>
              <w:rPr>
                <w:sz w:val="1"/>
                <w:szCs w:val="1"/>
                <w:color w:val="auto"/>
              </w:rPr>
            </w:pPr>
          </w:p>
        </w:tc>
      </w:tr>
      <w:tr>
        <w:trPr>
          <w:trHeight w:val="238"/>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and rights (1)</w:t>
            </w:r>
          </w:p>
        </w:tc>
        <w:tc>
          <w:tcPr>
            <w:tcW w:w="34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first column)</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1,555,073</w:t>
            </w:r>
          </w:p>
        </w:tc>
        <w:tc>
          <w:tcPr>
            <w:tcW w:w="2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37"/>
        </w:trPr>
        <w:tc>
          <w:tcPr>
            <w:tcW w:w="1960" w:type="dxa"/>
            <w:vAlign w:val="bottom"/>
            <w:gridSpan w:val="2"/>
          </w:tcPr>
          <w:p>
            <w:pPr>
              <w:jc w:val="right"/>
              <w:ind w:right="25"/>
              <w:spacing w:after="0" w:line="237" w:lineRule="exact"/>
              <w:rPr>
                <w:sz w:val="20"/>
                <w:szCs w:val="20"/>
                <w:color w:val="auto"/>
              </w:rPr>
            </w:pPr>
            <w:r>
              <w:rPr>
                <w:rFonts w:ascii="Times New Roman" w:cs="Times New Roman" w:eastAsia="Times New Roman" w:hAnsi="Times New Roman"/>
                <w:sz w:val="17"/>
                <w:szCs w:val="17"/>
                <w:color w:val="auto"/>
              </w:rPr>
              <w:t>130,500</w:t>
            </w:r>
            <w:r>
              <w:rPr>
                <w:rFonts w:ascii="Times New Roman" w:cs="Times New Roman" w:eastAsia="Times New Roman" w:hAnsi="Times New Roman"/>
                <w:sz w:val="27"/>
                <w:szCs w:val="27"/>
                <w:color w:val="auto"/>
                <w:vertAlign w:val="superscript"/>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1,685,573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-462280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-179070</wp:posOffset>
            </wp:positionV>
            <wp:extent cx="713232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60" w:space="360"/>
            <w:col w:w="5920"/>
          </w:cols>
          <w:pgMar w:left="320" w:top="684" w:right="339" w:bottom="1440" w:gutter="0" w:footer="0" w:header="0"/>
        </w:sect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exercise price of outstanding stock options and does not take into account restricted stock awards, which do not have an exercise price.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vested and unvested options to purchase common stock and unvested stock grants under the 2018 Plan. These awards have a weighted average remaining term of 8.7 years.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available for award grant purposes under the 2018 Plan. Subject to certain express limits of the plan, shares available under the plan generally may be used for any type of award authorized under that plan including options, stock appreciation rights, restricted stock and other forms of awards granted or denominated in shares of our common stock or units of our common stock.</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vested and unvested options to purchase common stock and unvested stock grants under inducement grants provided certain employees as an inducement to accept employment with the Company. These awards have a weighted average remaining term of 9.5 years. These grants are similar to those granted under the 2018 Plan.</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Code of Ethics requires all of our directors, officers and employees to give their complete loyalty to the best interests of the Company and to avoid any action that may involve, or that even may appear to involve, a conflict of interest with the Company. The Code of Ethics also requires any of our directors, officers or employees who become aware of a conflict or potential conflict to bring it to the attention of supervisor, manager or other appropriate personnel or consult the compliance procedures provided in the Code of Ethics. The Board of Directors reviews and approves or ratifies all relationships and transactions between us and (i) any of our directors or executive officers, (ii) any nominee for election as a director, (iii) any securityholder who is known to us to own beneficially or of record more than five percent of our common stock or (iv) any member of the immediate family of any of the foregoing.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SEC and Nasdaq, the Company requires that at least a majority of the directors serving at any time on the Board of Directors be independent. The Board has determined that of the six currently serving directors, four directors (Dr. Braun, Messrs. Dentzer and Fritz and Ms. Pellizzari) are independent under applicable SEC and Nasdaq rules.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Withum, Brown + Smith PC (“Withum”) has served as our independent accountants since 2017 and has advised us that neither Withum nor any of its members has, or has had in the past three years, any financial interest in the Company or any relation to the Company other than as auditors and accountants.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3" w:name="page74"/>
    <w:bookmarkEnd w:id="7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as invoiced for professional audit services rendered for the fiscal years ended December 31, 2024 and December 31, 2023, and fees for other services rendered during those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65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38"/>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OF TOTAL</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160" w:type="dxa"/>
            <w:vAlign w:val="bottom"/>
            <w:tcBorders>
              <w:bottom w:val="single" w:sz="8" w:color="CCEEFF"/>
            </w:tcBorders>
          </w:tcPr>
          <w:p>
            <w:pPr>
              <w:spacing w:after="0"/>
              <w:rPr>
                <w:sz w:val="20"/>
                <w:szCs w:val="20"/>
                <w:color w:val="auto"/>
              </w:rPr>
            </w:pP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10,200</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9,705</w:t>
            </w:r>
          </w:p>
        </w:tc>
        <w:tc>
          <w:tcPr>
            <w:tcW w:w="240" w:type="dxa"/>
            <w:vAlign w:val="bottom"/>
          </w:tcPr>
          <w:p>
            <w:pPr>
              <w:spacing w:after="0"/>
              <w:rPr>
                <w:sz w:val="18"/>
                <w:szCs w:val="18"/>
                <w:color w:val="auto"/>
              </w:rPr>
            </w:pPr>
          </w:p>
        </w:tc>
        <w:tc>
          <w:tcPr>
            <w:tcW w:w="1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12,272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13,750</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6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45,240</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78,885</w:t>
            </w:r>
          </w:p>
        </w:tc>
        <w:tc>
          <w:tcPr>
            <w:tcW w:w="240" w:type="dxa"/>
            <w:vAlign w:val="bottom"/>
          </w:tcPr>
          <w:p>
            <w:pPr>
              <w:spacing w:after="0"/>
              <w:rPr>
                <w:sz w:val="19"/>
                <w:szCs w:val="19"/>
                <w:color w:val="auto"/>
              </w:rPr>
            </w:pPr>
          </w:p>
        </w:tc>
        <w:tc>
          <w:tcPr>
            <w:tcW w:w="1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3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211,952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 fees consist of fees for professional services rendered by Withum for the audits of our annual financial statements in our Annual Reports on Form 10-K and for reviews of the quarterly financial statements included in the Company’s Quarterly Reports on Form 10-Q. Audit-related fees pertain to the work performed during our equity offerings in 2024 and 2023. Tax fees consist of fees for preparation of the Company’s federal and state tax returns. All other fees consist of fees for attendance at the Company’s annual meetings, review of registration statements and similar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by Employees of Withum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part of Withum’s engagement to audit the Company’s financial statements for the years ended December 31, 2024 and 2023 was attributable to work performed by persons other than Withum’s full-time, permanent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Policy on Approval of Audit and Non-Audit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the policy of the Audit Committee to pre-approve all audit and permissible non-audit services provided by our independent accountants, in accordance with rules prescribed by the SEC. These services may include audit services, audit-related services, tax services, and other services. Pre-approval is based on a written proposal, accompanied by a cost estimate, and estimated budget. The Audit Committee has delegated to its chairman the authority to pre-approve audit and non-audit services with an estimated cost of up to $25,000, provided the exercise of such authority is reported to the Audit Committee at its next regular meeting. The Audit Committee reserves the right, from time to time, to delegate pre-approval authority to other of its members, so long as such members are independent directors. All audit and permissible non-audit services during 2024 and 2023 were approved by the Audit Committee in accordance with its pre-approval policy and the approval requirements of the SEC.</w:t>
      </w:r>
    </w:p>
    <w:p>
      <w:pPr>
        <w:spacing w:after="0" w:line="1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list of the consolidated financial statements of Imunon, Inc. filed with this Annual Report, together with the reports of our independent registered public accountants and Management’s Report on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54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5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REPORTS</w:t>
            </w:r>
          </w:p>
        </w:tc>
        <w:tc>
          <w:tcPr>
            <w:tcW w:w="5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51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Reports of Independent Registered Public Accounting Firm</w:t>
            </w:r>
          </w:p>
        </w:tc>
        <w:tc>
          <w:tcPr>
            <w:tcW w:w="548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1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54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3020" w:type="dxa"/>
            <w:vAlign w:val="bottom"/>
            <w:tcBorders>
              <w:bottom w:val="single" w:sz="8" w:color="CCEEFF"/>
            </w:tcBorders>
            <w:gridSpan w:val="7"/>
            <w:shd w:val="clear" w:color="auto" w:fill="CCEEFF"/>
          </w:tcPr>
          <w:p>
            <w:pPr>
              <w:spacing w:after="0"/>
              <w:rPr>
                <w:sz w:val="17"/>
                <w:szCs w:val="17"/>
                <w:color w:val="auto"/>
              </w:rPr>
            </w:pPr>
          </w:p>
        </w:tc>
        <w:tc>
          <w:tcPr>
            <w:tcW w:w="5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75"/>
        </w:trPr>
        <w:tc>
          <w:tcPr>
            <w:tcW w:w="51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548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54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354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580" w:type="dxa"/>
            <w:vAlign w:val="bottom"/>
            <w:tcBorders>
              <w:top w:val="single" w:sz="8" w:color="CCEEFF"/>
            </w:tcBorders>
            <w:gridSpan w:val="4"/>
          </w:tcPr>
          <w:p>
            <w:pPr>
              <w:spacing w:after="0"/>
              <w:rPr>
                <w:sz w:val="15"/>
                <w:szCs w:val="15"/>
                <w:color w:val="auto"/>
              </w:rPr>
            </w:pPr>
          </w:p>
        </w:tc>
        <w:tc>
          <w:tcPr>
            <w:tcW w:w="54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w:t>
            </w:r>
          </w:p>
        </w:tc>
        <w:tc>
          <w:tcPr>
            <w:tcW w:w="54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6"/>
        </w:trPr>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5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CONSOLIDATED FINANCIAL STATEMENTS</w:t>
            </w:r>
          </w:p>
        </w:tc>
        <w:tc>
          <w:tcPr>
            <w:tcW w:w="54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F-11</w:t>
            </w:r>
          </w:p>
        </w:tc>
      </w:tr>
      <w:tr>
        <w:trPr>
          <w:trHeight w:val="432"/>
        </w:trPr>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480" w:type="dxa"/>
            <w:vAlign w:val="bottom"/>
            <w:tcBorders>
              <w:top w:val="single" w:sz="8" w:color="CCEEFF"/>
              <w:bottom w:val="single" w:sz="8" w:color="auto"/>
            </w:tcBorders>
          </w:tcPr>
          <w:p>
            <w:pPr>
              <w:jc w:val="right"/>
              <w:ind w:right="479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statement schedules are omitted because the information is inapplicable or presented in the notes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included as exhibits to this report:</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ind w:left="3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85">
        <w:r>
          <w:rPr>
            <w:rFonts w:ascii="Times New Roman" w:cs="Times New Roman" w:eastAsia="Times New Roman" w:hAnsi="Times New Roman"/>
            <w:sz w:val="18"/>
            <w:szCs w:val="18"/>
            <w:u w:val="single" w:color="auto"/>
            <w:color w:val="0000EE"/>
          </w:rPr>
          <w:t>Asset Purchase Agreement dated as of June 6, 2014, by and between Imunon, Inc. and EGEN, Inc., incorporated herein by reference to</w:t>
        </w:r>
      </w:hyperlink>
    </w:p>
    <w:p>
      <w:pPr>
        <w:spacing w:after="0" w:line="27" w:lineRule="exact"/>
        <w:rPr>
          <w:sz w:val="20"/>
          <w:szCs w:val="20"/>
          <w:color w:val="auto"/>
        </w:rPr>
      </w:pPr>
    </w:p>
    <w:p>
      <w:pPr>
        <w:jc w:val="center"/>
        <w:ind w:left="340"/>
        <w:spacing w:after="0"/>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Exhibit 2.1 to the Quarterly Report on Form 10-Q of the Company for the quarter ended June 30, 2014 (SEC File No. 001-15911).</w:t>
        </w:r>
      </w:hyperlink>
    </w:p>
    <w:p>
      <w:pPr>
        <w:spacing w:after="0" w:line="207"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86">
        <w:r>
          <w:rPr>
            <w:rFonts w:ascii="Times New Roman" w:cs="Times New Roman" w:eastAsia="Times New Roman" w:hAnsi="Times New Roman"/>
            <w:sz w:val="18"/>
            <w:szCs w:val="18"/>
            <w:u w:val="single" w:color="auto"/>
            <w:color w:val="0000EE"/>
          </w:rPr>
          <w:t>Amendment to Asset Purchase Agreement between Celsion Corporation and EGWU, Inc., dated March 28, 2019 incorporated herein by</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reference to Exhibit 10.1 to the Current Report on Form 8-K of the Company filed on April 1, 2019 (SEC File No. 001-15911).</w:t>
        </w:r>
      </w:hyperlink>
    </w:p>
    <w:p>
      <w:pPr>
        <w:spacing w:after="0" w:line="162" w:lineRule="exact"/>
        <w:rPr>
          <w:sz w:val="20"/>
          <w:szCs w:val="20"/>
          <w:color w:val="auto"/>
        </w:rPr>
      </w:pPr>
    </w:p>
    <w:p>
      <w:pPr>
        <w:jc w:val="both"/>
        <w:ind w:left="1100" w:right="2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87">
        <w:r>
          <w:rPr>
            <w:rFonts w:ascii="Times New Roman" w:cs="Times New Roman" w:eastAsia="Times New Roman" w:hAnsi="Times New Roman"/>
            <w:sz w:val="18"/>
            <w:szCs w:val="18"/>
            <w:u w:val="single" w:color="auto"/>
            <w:color w:val="0000EE"/>
          </w:rPr>
          <w:t>Amended and Restated Certificate of Incorporation of Imunon, dated March 24, 2023, incorporated herein by reference to Exhibit 3.1 to the</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Current Report on Form 8-K of the Company filed on March 24, 2023 (SEC File No. 001-15911).</w:t>
        </w:r>
      </w:hyperlink>
    </w:p>
    <w:p>
      <w:pPr>
        <w:spacing w:after="0" w:line="162"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88">
        <w:r>
          <w:rPr>
            <w:rFonts w:ascii="Times New Roman" w:cs="Times New Roman" w:eastAsia="Times New Roman" w:hAnsi="Times New Roman"/>
            <w:sz w:val="18"/>
            <w:szCs w:val="18"/>
            <w:u w:val="single" w:color="auto"/>
            <w:color w:val="0000EE"/>
          </w:rPr>
          <w:t>Amended and Restated Bylaws of the Company, effective on March 15, 2024, incorporated by reference to Exhibit 3.1 to the Current Report</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on Form 8-K of the Company, filed on March 18, 2024 (SEC File No. 001-15911).</w:t>
        </w:r>
      </w:hyperlink>
    </w:p>
    <w:p>
      <w:pPr>
        <w:spacing w:after="0" w:line="162" w:lineRule="exact"/>
        <w:rPr>
          <w:sz w:val="20"/>
          <w:szCs w:val="20"/>
          <w:color w:val="auto"/>
        </w:rPr>
      </w:pPr>
    </w:p>
    <w:p>
      <w:pPr>
        <w:ind w:left="38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89">
        <w:r>
          <w:rPr>
            <w:rFonts w:ascii="Times New Roman" w:cs="Times New Roman" w:eastAsia="Times New Roman" w:hAnsi="Times New Roman"/>
            <w:sz w:val="18"/>
            <w:szCs w:val="18"/>
            <w:u w:val="single" w:color="auto"/>
            <w:color w:val="0000EE"/>
          </w:rPr>
          <w:t>Form of Representative’s Common Stock Purchase Warrant, incorporated herein by reference to Exhibit 4.2 to the Current Report on Form</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8-K of the Company, filed on October 31, 2017 (SEC File No. 001-15911).</w:t>
        </w:r>
      </w:hyperlink>
    </w:p>
    <w:p>
      <w:pPr>
        <w:spacing w:after="0" w:line="207" w:lineRule="exact"/>
        <w:rPr>
          <w:sz w:val="20"/>
          <w:szCs w:val="20"/>
          <w:color w:val="auto"/>
        </w:rPr>
      </w:pPr>
    </w:p>
    <w:p>
      <w:pPr>
        <w:ind w:left="38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90">
        <w:r>
          <w:rPr>
            <w:rFonts w:ascii="Times New Roman" w:cs="Times New Roman" w:eastAsia="Times New Roman" w:hAnsi="Times New Roman"/>
            <w:sz w:val="18"/>
            <w:szCs w:val="18"/>
            <w:u w:val="single" w:color="auto"/>
            <w:color w:val="0000EE"/>
          </w:rPr>
          <w:t>Form of Placement Agent Common Stock Purchase Warrant incorporated herein by reference to Exhibit 4.4 to the Current Report on Form</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8-K of the Company, filed on July 11, 2017 (SEC File No. 001-15911).</w:t>
        </w:r>
      </w:hyperlink>
    </w:p>
    <w:p>
      <w:pPr>
        <w:spacing w:after="0" w:line="207" w:lineRule="exact"/>
        <w:rPr>
          <w:sz w:val="20"/>
          <w:szCs w:val="20"/>
          <w:color w:val="auto"/>
        </w:rPr>
      </w:pPr>
    </w:p>
    <w:p>
      <w:pPr>
        <w:jc w:val="both"/>
        <w:ind w:left="1100" w:hanging="719"/>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91">
        <w:r>
          <w:rPr>
            <w:rFonts w:ascii="Times New Roman" w:cs="Times New Roman" w:eastAsia="Times New Roman" w:hAnsi="Times New Roman"/>
            <w:sz w:val="18"/>
            <w:szCs w:val="18"/>
            <w:u w:val="single" w:color="auto"/>
            <w:color w:val="0000EE"/>
          </w:rPr>
          <w:t>Form of Amended and Restated Warrant (issued under First Amendment of Venture Loan and Security Agreement, dated as of August 1,</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2020, by and among Imunon, Inc., Horizon Funding I, LLC, Horizon Funding Trust 2019-1, and Horizon Technology Finance Corporation,</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as Collateral Agent), incorporated herein by reference to Exhibit 4.1 to the Current Report on Form 8-K of the Company, filed on September</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4, 2020 (SEC File No. 001-15911).</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92">
        <w:r>
          <w:rPr>
            <w:rFonts w:ascii="Times New Roman" w:cs="Times New Roman" w:eastAsia="Times New Roman" w:hAnsi="Times New Roman"/>
            <w:sz w:val="18"/>
            <w:szCs w:val="18"/>
            <w:u w:val="single" w:color="auto"/>
            <w:color w:val="0000EE"/>
          </w:rPr>
          <w:t>Form of Exchange Warrant, incorporated herein by reference to Exhibit 4.1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March 13, 2020 (SEC File No. 001-15911).</w:t>
        </w:r>
      </w:hyperlink>
    </w:p>
    <w:p>
      <w:pPr>
        <w:spacing w:after="0" w:line="162" w:lineRule="exact"/>
        <w:rPr>
          <w:sz w:val="20"/>
          <w:szCs w:val="20"/>
          <w:color w:val="auto"/>
        </w:rPr>
      </w:pPr>
    </w:p>
    <w:p>
      <w:pPr>
        <w:ind w:left="38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93">
        <w:r>
          <w:rPr>
            <w:rFonts w:ascii="Times New Roman" w:cs="Times New Roman" w:eastAsia="Times New Roman" w:hAnsi="Times New Roman"/>
            <w:sz w:val="18"/>
            <w:szCs w:val="18"/>
            <w:u w:val="single" w:color="auto"/>
            <w:color w:val="0000EE"/>
          </w:rPr>
          <w:t>Warrant to purchase Shares of Common Stock of Celsion Corporation between Celsion Corporation and EGWU, Inc., dated March 28,</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93">
        <w:r>
          <w:rPr>
            <w:rFonts w:ascii="Times New Roman" w:cs="Times New Roman" w:eastAsia="Times New Roman" w:hAnsi="Times New Roman"/>
            <w:sz w:val="18"/>
            <w:szCs w:val="18"/>
            <w:u w:val="single" w:color="auto"/>
            <w:color w:val="0000EE"/>
          </w:rPr>
          <w:t>2019, incorporated herein by reference to Exhibit 4.1 to the Quarterly Report on Form 10-Q of the Company for the quarter ended March</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93">
        <w:r>
          <w:rPr>
            <w:rFonts w:ascii="Times New Roman" w:cs="Times New Roman" w:eastAsia="Times New Roman" w:hAnsi="Times New Roman"/>
            <w:sz w:val="18"/>
            <w:szCs w:val="18"/>
            <w:u w:val="single" w:color="auto"/>
            <w:color w:val="0000EE"/>
          </w:rPr>
          <w:t>31, 2019 (SEC File No. 001-15911).</w:t>
        </w:r>
      </w:hyperlink>
    </w:p>
    <w:p>
      <w:pPr>
        <w:spacing w:after="0" w:line="207"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94">
        <w:r>
          <w:rPr>
            <w:rFonts w:ascii="Times New Roman" w:cs="Times New Roman" w:eastAsia="Times New Roman" w:hAnsi="Times New Roman"/>
            <w:sz w:val="18"/>
            <w:szCs w:val="18"/>
            <w:u w:val="single" w:color="auto"/>
            <w:color w:val="0000EE"/>
          </w:rPr>
          <w:t>Form of Warrant, incorporated by reference to Exhibit 4.1 to the Current Report on Form 8-K of the Company filed on July 31, 2024 (SEC</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file No. 001-15911).</w:t>
        </w:r>
      </w:hyperlink>
    </w:p>
    <w:p>
      <w:pPr>
        <w:spacing w:after="0" w:line="162"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0000EE"/>
        </w:rPr>
        <w:t>Description of Securities of the Registrant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w:t>
            </w:r>
          </w:p>
        </w:tc>
        <w:tc>
          <w:tcPr>
            <w:tcW w:w="10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Imunon, Inc. 2007 Stock Incentive Plan, as amended, incorporated herein by reference to Exhibit 10.1 to the Current Report on Form 8-K of</w:t>
              </w:r>
            </w:hyperlink>
          </w:p>
        </w:tc>
      </w:tr>
      <w:tr>
        <w:trPr>
          <w:trHeight w:val="196"/>
        </w:trPr>
        <w:tc>
          <w:tcPr>
            <w:tcW w:w="112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the Company, filed on May 16, 2017 (SEC File No. 001-15911).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w:t>
            </w:r>
          </w:p>
        </w:tc>
        <w:tc>
          <w:tcPr>
            <w:tcW w:w="10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Inducement Offer to Exercise Common Stock Purchase Warrants, incorporated herein by reference to Exhibit 10.3 to the Quarterly</w:t>
              </w:r>
            </w:hyperlink>
          </w:p>
        </w:tc>
      </w:tr>
      <w:tr>
        <w:trPr>
          <w:trHeight w:val="196"/>
        </w:trPr>
        <w:tc>
          <w:tcPr>
            <w:tcW w:w="112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Report on Form 10-Q of the Company for the quarter ended September 30, 2017 (SEC File No. 001-15911).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10.3***</w:t>
            </w:r>
          </w:p>
        </w:tc>
        <w:tc>
          <w:tcPr>
            <w:tcW w:w="10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Imunon, Inc. 2018 Stock Incentive Plan, incorporated by reference to Exhibit 10.1 to the Current Report on Form 8-K of the Company filed</w:t>
              </w:r>
            </w:hyperlink>
          </w:p>
        </w:tc>
      </w:tr>
      <w:tr>
        <w:trPr>
          <w:trHeight w:val="196"/>
        </w:trPr>
        <w:tc>
          <w:tcPr>
            <w:tcW w:w="1120" w:type="dxa"/>
            <w:vAlign w:val="bottom"/>
          </w:tcPr>
          <w:p>
            <w:pPr>
              <w:spacing w:after="0"/>
              <w:rPr>
                <w:sz w:val="17"/>
                <w:szCs w:val="17"/>
                <w:color w:val="auto"/>
              </w:rPr>
            </w:pPr>
          </w:p>
        </w:tc>
        <w:tc>
          <w:tcPr>
            <w:tcW w:w="2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May 15, 2018 (SEC File No. 001-15911).</w:t>
              </w:r>
            </w:hyperlink>
          </w:p>
        </w:tc>
        <w:tc>
          <w:tcPr>
            <w:tcW w:w="7140" w:type="dxa"/>
            <w:vAlign w:val="bottom"/>
            <w:gridSpan w:val="14"/>
          </w:tcPr>
          <w:p>
            <w:pPr>
              <w:spacing w:after="0"/>
              <w:rPr>
                <w:sz w:val="17"/>
                <w:szCs w:val="17"/>
                <w:color w:val="auto"/>
              </w:rPr>
            </w:pPr>
          </w:p>
        </w:tc>
      </w:tr>
      <w:tr>
        <w:trPr>
          <w:trHeight w:val="412"/>
        </w:trPr>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10.4***</w:t>
            </w:r>
          </w:p>
        </w:tc>
        <w:tc>
          <w:tcPr>
            <w:tcW w:w="10120" w:type="dxa"/>
            <w:vAlign w:val="bottom"/>
            <w:gridSpan w:val="16"/>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First Amendment to the Imunon, Inc. 2018 Stock Incentive Plan, incorporated by reference to Exhibit 10.1 to the Current Report on Form 8-</w:t>
              </w:r>
            </w:hyperlink>
          </w:p>
        </w:tc>
      </w:tr>
      <w:tr>
        <w:trPr>
          <w:trHeight w:val="196"/>
        </w:trPr>
        <w:tc>
          <w:tcPr>
            <w:tcW w:w="11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K of the Company, filed on May 15, 2019 (SEC File No. 001-15911).</w:t>
              </w:r>
            </w:hyperlink>
          </w:p>
        </w:tc>
        <w:tc>
          <w:tcPr>
            <w:tcW w:w="510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10.5***</w:t>
            </w:r>
          </w:p>
        </w:tc>
        <w:tc>
          <w:tcPr>
            <w:tcW w:w="10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Second Amendment to the Imunon, Inc. 2018 Stock Incentive Plan, incorporated by reference to Exhibit 10.1 to the Current Report on Form</w:t>
              </w:r>
            </w:hyperlink>
          </w:p>
        </w:tc>
      </w:tr>
      <w:tr>
        <w:trPr>
          <w:trHeight w:val="196"/>
        </w:trPr>
        <w:tc>
          <w:tcPr>
            <w:tcW w:w="112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8-K of the Company, filed on June 16, 2020 (SEC File No. 001-15911).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10.6***</w:t>
            </w:r>
          </w:p>
        </w:tc>
        <w:tc>
          <w:tcPr>
            <w:tcW w:w="10120" w:type="dxa"/>
            <w:vAlign w:val="bottom"/>
            <w:gridSpan w:val="16"/>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Third Amendment to the Celsion Corporation 2018 Stock Incentive Plan, incorporated herein by reference to Exhibit 10.1 to the Current</w:t>
              </w:r>
            </w:hyperlink>
          </w:p>
        </w:tc>
      </w:tr>
      <w:tr>
        <w:trPr>
          <w:trHeight w:val="196"/>
        </w:trPr>
        <w:tc>
          <w:tcPr>
            <w:tcW w:w="112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Report on Form 8-K of the Company, filed with the Commission on June 10, 2021 (SEC File No. 001-15911).</w:t>
              </w:r>
            </w:hyperlink>
          </w:p>
        </w:tc>
        <w:tc>
          <w:tcPr>
            <w:tcW w:w="218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10.7***</w:t>
            </w:r>
          </w:p>
        </w:tc>
        <w:tc>
          <w:tcPr>
            <w:tcW w:w="10120" w:type="dxa"/>
            <w:vAlign w:val="bottom"/>
            <w:gridSpan w:val="16"/>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Incentive Stock Option Grant Agreement under the 2018 Stock Incentive Plan, incorporated herein by reference to Exhibit 10.1 to</w:t>
              </w:r>
            </w:hyperlink>
          </w:p>
        </w:tc>
      </w:tr>
      <w:tr>
        <w:trPr>
          <w:trHeight w:val="196"/>
        </w:trPr>
        <w:tc>
          <w:tcPr>
            <w:tcW w:w="1120" w:type="dxa"/>
            <w:vAlign w:val="bottom"/>
          </w:tcPr>
          <w:p>
            <w:pPr>
              <w:spacing w:after="0"/>
              <w:rPr>
                <w:sz w:val="17"/>
                <w:szCs w:val="17"/>
                <w:color w:val="auto"/>
              </w:rPr>
            </w:pPr>
          </w:p>
        </w:tc>
        <w:tc>
          <w:tcPr>
            <w:tcW w:w="84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the Quarterly Report on Form 10-Q of the Company for the quarter ended March 31, 2024 (SEC File No. 001-15911).</w:t>
              </w:r>
            </w:hyperlink>
          </w:p>
        </w:tc>
        <w:tc>
          <w:tcPr>
            <w:tcW w:w="16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10.8***</w:t>
            </w:r>
          </w:p>
        </w:tc>
        <w:tc>
          <w:tcPr>
            <w:tcW w:w="10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Restricted Stock Agreement under the 2018 Stock Incentive Plan, incorporated herein by reference to Exhibit 10.2 to the Quarterly</w:t>
              </w:r>
            </w:hyperlink>
          </w:p>
        </w:tc>
      </w:tr>
      <w:tr>
        <w:trPr>
          <w:trHeight w:val="196"/>
        </w:trPr>
        <w:tc>
          <w:tcPr>
            <w:tcW w:w="112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Report on Form 10-Q of the Company for the quarter ended March 31, 2024 (SEC File No. 001-15911).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10.9***</w:t>
            </w:r>
          </w:p>
        </w:tc>
        <w:tc>
          <w:tcPr>
            <w:tcW w:w="10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Nonqualified Stock Option and Restricted Stock Grant Agreement for employment inducement awards, incorporated by reference</w:t>
              </w:r>
            </w:hyperlink>
          </w:p>
        </w:tc>
      </w:tr>
      <w:tr>
        <w:trPr>
          <w:trHeight w:val="196"/>
        </w:trPr>
        <w:tc>
          <w:tcPr>
            <w:tcW w:w="112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to Exhibit 99.1 to the Company’s Registration Statement on Form S-8 filed on August 29, 2024 (No. 333-281833).</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8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10.10***</w:t>
            </w:r>
          </w:p>
        </w:tc>
        <w:tc>
          <w:tcPr>
            <w:tcW w:w="10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Employment Offer Letter, entered into on June 15, 2010, between the Company and Jeffrey W. Church, incorporated herein by reference to</w:t>
              </w:r>
            </w:hyperlink>
          </w:p>
        </w:tc>
      </w:tr>
      <w:tr>
        <w:trPr>
          <w:trHeight w:val="196"/>
        </w:trPr>
        <w:tc>
          <w:tcPr>
            <w:tcW w:w="1120" w:type="dxa"/>
            <w:vAlign w:val="bottom"/>
          </w:tcPr>
          <w:p>
            <w:pPr>
              <w:spacing w:after="0"/>
              <w:rPr>
                <w:sz w:val="17"/>
                <w:szCs w:val="17"/>
                <w:color w:val="auto"/>
              </w:rPr>
            </w:pPr>
          </w:p>
        </w:tc>
        <w:tc>
          <w:tcPr>
            <w:tcW w:w="8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Exhibit 10.1 to the Current Report on Form 8-K of the Company filed on June 18, 2010 (SEC File No. 001-15911).</w:t>
              </w:r>
            </w:hyperlink>
          </w:p>
        </w:tc>
        <w:tc>
          <w:tcPr>
            <w:tcW w:w="1820" w:type="dxa"/>
            <w:vAlign w:val="bottom"/>
            <w:gridSpan w:val="5"/>
          </w:tcPr>
          <w:p>
            <w:pPr>
              <w:spacing w:after="0"/>
              <w:rPr>
                <w:sz w:val="17"/>
                <w:szCs w:val="17"/>
                <w:color w:val="auto"/>
              </w:rPr>
            </w:pPr>
          </w:p>
        </w:tc>
      </w:tr>
      <w:tr>
        <w:trPr>
          <w:trHeight w:val="412"/>
        </w:trPr>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10.11***</w:t>
            </w:r>
          </w:p>
        </w:tc>
        <w:tc>
          <w:tcPr>
            <w:tcW w:w="10120" w:type="dxa"/>
            <w:vAlign w:val="bottom"/>
            <w:gridSpan w:val="16"/>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Employment Offer Letter effective as of June 2, 2014, between the Company and Khursheed Anwer incorporated herein by reference to</w:t>
              </w:r>
            </w:hyperlink>
          </w:p>
        </w:tc>
      </w:tr>
      <w:tr>
        <w:trPr>
          <w:trHeight w:val="196"/>
        </w:trPr>
        <w:tc>
          <w:tcPr>
            <w:tcW w:w="112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Exhibit 10.27 to the Annual Report of the Company for the year ended December 31, 2014 (SEC File No. 001-15911).</w:t>
              </w:r>
            </w:hyperlink>
          </w:p>
        </w:tc>
        <w:tc>
          <w:tcPr>
            <w:tcW w:w="15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10.12***</w:t>
            </w:r>
          </w:p>
        </w:tc>
        <w:tc>
          <w:tcPr>
            <w:tcW w:w="10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Employment Agreement between the Company and Michael H. Tardugno, effective as of July 18, 2022, incorporated herein by reference to</w:t>
              </w:r>
            </w:hyperlink>
          </w:p>
        </w:tc>
      </w:tr>
      <w:tr>
        <w:trPr>
          <w:trHeight w:val="196"/>
        </w:trPr>
        <w:tc>
          <w:tcPr>
            <w:tcW w:w="112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Exhibit 10.2 to the Current Report on Form 8-K of the Company filed with the Commission on July 19, 2022 (SEC File No. 001-15911).</w:t>
              </w:r>
            </w:hyperlink>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6400" w:type="dxa"/>
            <w:vAlign w:val="bottom"/>
            <w:gridSpan w:val="11"/>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10.13***</w:t>
            </w:r>
          </w:p>
        </w:tc>
        <w:tc>
          <w:tcPr>
            <w:tcW w:w="10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Employment Agreement between the Company Corporation and Corinne Le Goff, effective as of July 18, 2022 incorporated herein by</w:t>
              </w:r>
            </w:hyperlink>
          </w:p>
        </w:tc>
      </w:tr>
      <w:tr>
        <w:trPr>
          <w:trHeight w:val="196"/>
        </w:trPr>
        <w:tc>
          <w:tcPr>
            <w:tcW w:w="112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reference to Exhibit 10.1 to the Current Report on Form 8-K of the Company filed with the Commission on July 19, 2022 (SEC File No.</w:t>
              </w:r>
            </w:hyperlink>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80" w:type="dxa"/>
            <w:vAlign w:val="bottom"/>
          </w:tcPr>
          <w:p>
            <w:pPr>
              <w:spacing w:after="0" w:line="196" w:lineRule="exact"/>
              <w:rPr>
                <w:rFonts w:ascii="Times New Roman" w:cs="Times New Roman" w:eastAsia="Times New Roman" w:hAnsi="Times New Roman"/>
                <w:sz w:val="18"/>
                <w:szCs w:val="18"/>
                <w:color w:val="0000EE"/>
                <w:w w:val="97"/>
              </w:rPr>
            </w:pPr>
            <w:hyperlink r:id="rId107">
              <w:r>
                <w:rPr>
                  <w:rFonts w:ascii="Times New Roman" w:cs="Times New Roman" w:eastAsia="Times New Roman" w:hAnsi="Times New Roman"/>
                  <w:sz w:val="18"/>
                  <w:szCs w:val="18"/>
                  <w:color w:val="0000EE"/>
                  <w:w w:val="97"/>
                </w:rPr>
                <w:t>001-15911).</w:t>
              </w:r>
            </w:hyperlink>
          </w:p>
        </w:tc>
        <w:tc>
          <w:tcPr>
            <w:tcW w:w="2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680" w:type="dxa"/>
            <w:vAlign w:val="bottom"/>
            <w:gridSpan w:val="13"/>
          </w:tcPr>
          <w:p>
            <w:pPr>
              <w:spacing w:after="0" w:line="20" w:lineRule="exact"/>
              <w:rPr>
                <w:sz w:val="1"/>
                <w:szCs w:val="1"/>
                <w:color w:val="auto"/>
              </w:rPr>
            </w:pPr>
          </w:p>
        </w:tc>
      </w:tr>
      <w:tr>
        <w:trPr>
          <w:trHeight w:val="412"/>
        </w:trPr>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10.14***</w:t>
            </w:r>
          </w:p>
        </w:tc>
        <w:tc>
          <w:tcPr>
            <w:tcW w:w="10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Amended and Restated Change in Control Agreement dated as of September 6, 2016, by and between the Company and Michael H.</w:t>
              </w:r>
            </w:hyperlink>
          </w:p>
        </w:tc>
      </w:tr>
      <w:tr>
        <w:trPr>
          <w:trHeight w:val="196"/>
        </w:trPr>
        <w:tc>
          <w:tcPr>
            <w:tcW w:w="1120" w:type="dxa"/>
            <w:vAlign w:val="bottom"/>
          </w:tcPr>
          <w:p>
            <w:pPr>
              <w:spacing w:after="0"/>
              <w:rPr>
                <w:sz w:val="17"/>
                <w:szCs w:val="17"/>
                <w:color w:val="auto"/>
              </w:rPr>
            </w:pPr>
          </w:p>
        </w:tc>
        <w:tc>
          <w:tcPr>
            <w:tcW w:w="101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Tardugno, incorporated herein by reference to Exhibit 10.1 to the Quarterly Report on Form 10-Q of the Company for the quarter ended</w:t>
              </w:r>
            </w:hyperlink>
          </w:p>
        </w:tc>
      </w:tr>
      <w:tr>
        <w:trPr>
          <w:trHeight w:val="196"/>
        </w:trPr>
        <w:tc>
          <w:tcPr>
            <w:tcW w:w="1120" w:type="dxa"/>
            <w:vAlign w:val="bottom"/>
          </w:tcPr>
          <w:p>
            <w:pPr>
              <w:spacing w:after="0"/>
              <w:rPr>
                <w:sz w:val="17"/>
                <w:szCs w:val="17"/>
                <w:color w:val="auto"/>
              </w:rPr>
            </w:pPr>
          </w:p>
        </w:tc>
        <w:tc>
          <w:tcPr>
            <w:tcW w:w="3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September 30, 2016 (SEC File No. 001-15911).</w:t>
              </w:r>
            </w:hyperlink>
          </w:p>
        </w:tc>
        <w:tc>
          <w:tcPr>
            <w:tcW w:w="6680" w:type="dxa"/>
            <w:vAlign w:val="bottom"/>
            <w:gridSpan w:val="13"/>
          </w:tcPr>
          <w:p>
            <w:pPr>
              <w:spacing w:after="0"/>
              <w:rPr>
                <w:sz w:val="17"/>
                <w:szCs w:val="17"/>
                <w:color w:val="auto"/>
              </w:rPr>
            </w:pPr>
          </w:p>
        </w:tc>
      </w:tr>
      <w:tr>
        <w:trPr>
          <w:trHeight w:val="479"/>
        </w:trPr>
        <w:tc>
          <w:tcPr>
            <w:tcW w:w="11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4"/>
          </w:tcPr>
          <w:p>
            <w:pPr>
              <w:ind w:left="4420"/>
              <w:spacing w:after="0"/>
              <w:rPr>
                <w:sz w:val="20"/>
                <w:szCs w:val="20"/>
                <w:color w:val="auto"/>
              </w:rPr>
            </w:pPr>
            <w:r>
              <w:rPr>
                <w:rFonts w:ascii="Times New Roman" w:cs="Times New Roman" w:eastAsia="Times New Roman" w:hAnsi="Times New Roman"/>
                <w:sz w:val="18"/>
                <w:szCs w:val="18"/>
                <w:color w:val="auto"/>
                <w:w w:val="99"/>
              </w:rPr>
              <w:t>72</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10.15***</w:t>
            </w:r>
          </w:p>
        </w:tc>
        <w:tc>
          <w:tcPr>
            <w:tcW w:w="10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Employment Agreement, dated as of May 3, 2024, between the Company and Stacy Lindborg, Ph.D., incorporated by reference to Exhibit</w:t>
              </w:r>
            </w:hyperlink>
          </w:p>
        </w:tc>
      </w:tr>
      <w:tr>
        <w:trPr>
          <w:trHeight w:val="196"/>
        </w:trPr>
        <w:tc>
          <w:tcPr>
            <w:tcW w:w="9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of the Company filed on May 8, 2024 (SEC File No. 001-15911).</w:t>
              </w:r>
            </w:hyperlink>
          </w:p>
        </w:tc>
      </w:tr>
      <w:tr>
        <w:trPr>
          <w:trHeight w:val="20"/>
        </w:trPr>
        <w:tc>
          <w:tcPr>
            <w:tcW w:w="9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10.16***</w:t>
            </w:r>
          </w:p>
        </w:tc>
        <w:tc>
          <w:tcPr>
            <w:tcW w:w="10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Retirement and Consulting Agreement, dated May 17, 2024, between Imunon, Inc. and Jeffrey Church, incorporated by reference to Exhibit</w:t>
              </w:r>
            </w:hyperlink>
          </w:p>
        </w:tc>
      </w:tr>
      <w:tr>
        <w:trPr>
          <w:trHeight w:val="196"/>
        </w:trPr>
        <w:tc>
          <w:tcPr>
            <w:tcW w:w="960" w:type="dxa"/>
            <w:vAlign w:val="bottom"/>
          </w:tcPr>
          <w:p>
            <w:pPr>
              <w:spacing w:after="0"/>
              <w:rPr>
                <w:sz w:val="17"/>
                <w:szCs w:val="17"/>
                <w:color w:val="auto"/>
              </w:rPr>
            </w:pPr>
          </w:p>
        </w:tc>
        <w:tc>
          <w:tcPr>
            <w:tcW w:w="77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of the Company filed on May 20, 2024 (SEC File No. 001-15911).</w:t>
              </w:r>
            </w:hyperlink>
          </w:p>
        </w:tc>
        <w:tc>
          <w:tcPr>
            <w:tcW w:w="2400" w:type="dxa"/>
            <w:vAlign w:val="bottom"/>
            <w:gridSpan w:val="4"/>
          </w:tcPr>
          <w:p>
            <w:pPr>
              <w:spacing w:after="0"/>
              <w:rPr>
                <w:sz w:val="17"/>
                <w:szCs w:val="17"/>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10.17***</w:t>
            </w:r>
          </w:p>
        </w:tc>
        <w:tc>
          <w:tcPr>
            <w:tcW w:w="10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Consulting Agreement, dated April 15, 2024, by and between Imunon, Inc. and Monomoy Advisors, LLC incorporated by reference to</w:t>
              </w:r>
            </w:hyperlink>
          </w:p>
        </w:tc>
      </w:tr>
      <w:tr>
        <w:trPr>
          <w:trHeight w:val="196"/>
        </w:trPr>
        <w:tc>
          <w:tcPr>
            <w:tcW w:w="960" w:type="dxa"/>
            <w:vAlign w:val="bottom"/>
          </w:tcPr>
          <w:p>
            <w:pPr>
              <w:spacing w:after="0"/>
              <w:rPr>
                <w:sz w:val="17"/>
                <w:szCs w:val="17"/>
                <w:color w:val="auto"/>
              </w:rPr>
            </w:pPr>
          </w:p>
        </w:tc>
        <w:tc>
          <w:tcPr>
            <w:tcW w:w="8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Exhibit 10.2 to the Current Report on Form 8-K of the Company filed on May 20, 2024 (SEC File No. 001-15911).</w:t>
              </w:r>
            </w:hyperlink>
          </w:p>
        </w:tc>
        <w:tc>
          <w:tcPr>
            <w:tcW w:w="1820" w:type="dxa"/>
            <w:vAlign w:val="bottom"/>
            <w:gridSpan w:val="3"/>
          </w:tcPr>
          <w:p>
            <w:pPr>
              <w:spacing w:after="0"/>
              <w:rPr>
                <w:sz w:val="17"/>
                <w:szCs w:val="17"/>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10.18***</w:t>
            </w:r>
          </w:p>
        </w:tc>
        <w:tc>
          <w:tcPr>
            <w:tcW w:w="10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Offer Letter of Employment, dated October 2, 2024, between Imunon, Inc. and Susan Eylward, incorporated by reference to Exhibit 10.1 to</w:t>
              </w:r>
            </w:hyperlink>
          </w:p>
        </w:tc>
      </w:tr>
      <w:tr>
        <w:trPr>
          <w:trHeight w:val="196"/>
        </w:trPr>
        <w:tc>
          <w:tcPr>
            <w:tcW w:w="960" w:type="dxa"/>
            <w:vAlign w:val="bottom"/>
          </w:tcPr>
          <w:p>
            <w:pPr>
              <w:spacing w:after="0"/>
              <w:rPr>
                <w:sz w:val="17"/>
                <w:szCs w:val="17"/>
                <w:color w:val="auto"/>
              </w:rPr>
            </w:pPr>
          </w:p>
        </w:tc>
        <w:tc>
          <w:tcPr>
            <w:tcW w:w="7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the Current Report on Form 8-K of the Company filed on October 7, 2024 (SEC File No. 001-15911).</w:t>
              </w:r>
            </w:hyperlink>
          </w:p>
        </w:tc>
        <w:tc>
          <w:tcPr>
            <w:tcW w:w="2780" w:type="dxa"/>
            <w:vAlign w:val="bottom"/>
            <w:gridSpan w:val="6"/>
          </w:tcPr>
          <w:p>
            <w:pPr>
              <w:spacing w:after="0"/>
              <w:rPr>
                <w:sz w:val="17"/>
                <w:szCs w:val="17"/>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10.19***</w:t>
            </w:r>
          </w:p>
        </w:tc>
        <w:tc>
          <w:tcPr>
            <w:tcW w:w="10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Separation Agreement, dated August 9, 2024 by and between the Company and Sébastien Hazard, M.D., incorporated by reference to</w:t>
              </w:r>
            </w:hyperlink>
          </w:p>
        </w:tc>
      </w:tr>
      <w:tr>
        <w:trPr>
          <w:trHeight w:val="196"/>
        </w:trPr>
        <w:tc>
          <w:tcPr>
            <w:tcW w:w="960" w:type="dxa"/>
            <w:vAlign w:val="bottom"/>
          </w:tcPr>
          <w:p>
            <w:pPr>
              <w:spacing w:after="0"/>
              <w:rPr>
                <w:sz w:val="17"/>
                <w:szCs w:val="17"/>
                <w:color w:val="auto"/>
              </w:rPr>
            </w:pPr>
          </w:p>
        </w:tc>
        <w:tc>
          <w:tcPr>
            <w:tcW w:w="9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Exhibit 10.5 to the Quarterly Report on Form 10-Q of the Company for the quarter ended September 30, 2024 (SEC file No. 001-15911).</w:t>
              </w:r>
            </w:hyperlink>
          </w:p>
        </w:tc>
        <w:tc>
          <w:tcPr>
            <w:tcW w:w="240" w:type="dxa"/>
            <w:vAlign w:val="bottom"/>
          </w:tcPr>
          <w:p>
            <w:pPr>
              <w:spacing w:after="0"/>
              <w:rPr>
                <w:sz w:val="17"/>
                <w:szCs w:val="17"/>
                <w:color w:val="auto"/>
              </w:rPr>
            </w:pPr>
          </w:p>
        </w:tc>
      </w:tr>
      <w:tr>
        <w:trPr>
          <w:trHeight w:val="412"/>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10.20*</w:t>
            </w:r>
          </w:p>
        </w:tc>
        <w:tc>
          <w:tcPr>
            <w:tcW w:w="10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Development, Product Supply and Commercialization Agreement, effective December 5, 2008, by and between the Company and Yakult</w:t>
              </w:r>
            </w:hyperlink>
          </w:p>
        </w:tc>
      </w:tr>
      <w:tr>
        <w:trPr>
          <w:trHeight w:val="196"/>
        </w:trPr>
        <w:tc>
          <w:tcPr>
            <w:tcW w:w="960" w:type="dxa"/>
            <w:vAlign w:val="bottom"/>
          </w:tcPr>
          <w:p>
            <w:pPr>
              <w:spacing w:after="0"/>
              <w:rPr>
                <w:sz w:val="17"/>
                <w:szCs w:val="17"/>
                <w:color w:val="auto"/>
              </w:rPr>
            </w:pPr>
          </w:p>
        </w:tc>
        <w:tc>
          <w:tcPr>
            <w:tcW w:w="10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Honsha Co., Ltd., incorporated herein by reference to Exhibit 10.15 to the Annual Report of the Company for the year ended December 31,</w:t>
              </w:r>
            </w:hyperlink>
          </w:p>
        </w:tc>
      </w:tr>
      <w:tr>
        <w:trPr>
          <w:trHeight w:val="196"/>
        </w:trPr>
        <w:tc>
          <w:tcPr>
            <w:tcW w:w="9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2008 (SEC File No. 001-15911).</w:t>
              </w:r>
            </w:hyperlink>
          </w:p>
        </w:tc>
      </w:tr>
      <w:tr>
        <w:trPr>
          <w:trHeight w:val="20"/>
        </w:trPr>
        <w:tc>
          <w:tcPr>
            <w:tcW w:w="9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10.21*</w:t>
            </w:r>
          </w:p>
        </w:tc>
        <w:tc>
          <w:tcPr>
            <w:tcW w:w="10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The 2nd Amendment to The Development, Product Supply and Commercialization Agreement, effective January 7, 2011, by and between</w:t>
              </w:r>
            </w:hyperlink>
          </w:p>
        </w:tc>
      </w:tr>
      <w:tr>
        <w:trPr>
          <w:trHeight w:val="196"/>
        </w:trPr>
        <w:tc>
          <w:tcPr>
            <w:tcW w:w="960" w:type="dxa"/>
            <w:vAlign w:val="bottom"/>
          </w:tcPr>
          <w:p>
            <w:pPr>
              <w:spacing w:after="0"/>
              <w:rPr>
                <w:sz w:val="17"/>
                <w:szCs w:val="17"/>
                <w:color w:val="auto"/>
              </w:rPr>
            </w:pPr>
          </w:p>
        </w:tc>
        <w:tc>
          <w:tcPr>
            <w:tcW w:w="10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the Company and Yakult Honsha Co., Ltd. incorporated herein by reference to Exhibit 10.1 to the Current Report on Form 8-K of the</w:t>
              </w:r>
            </w:hyperlink>
          </w:p>
        </w:tc>
      </w:tr>
      <w:tr>
        <w:trPr>
          <w:trHeight w:val="196"/>
        </w:trPr>
        <w:tc>
          <w:tcPr>
            <w:tcW w:w="960" w:type="dxa"/>
            <w:vAlign w:val="bottom"/>
          </w:tcPr>
          <w:p>
            <w:pPr>
              <w:spacing w:after="0"/>
              <w:rPr>
                <w:sz w:val="17"/>
                <w:szCs w:val="17"/>
                <w:color w:val="auto"/>
              </w:rPr>
            </w:pPr>
          </w:p>
        </w:tc>
        <w:tc>
          <w:tcPr>
            <w:tcW w:w="4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Company filed on January 18, 2011 (SEC File No. 001-15911).</w:t>
              </w:r>
            </w:hyperlink>
          </w:p>
        </w:tc>
        <w:tc>
          <w:tcPr>
            <w:tcW w:w="5560" w:type="dxa"/>
            <w:vAlign w:val="bottom"/>
            <w:gridSpan w:val="7"/>
          </w:tcPr>
          <w:p>
            <w:pPr>
              <w:spacing w:after="0"/>
              <w:rPr>
                <w:sz w:val="17"/>
                <w:szCs w:val="17"/>
                <w:color w:val="auto"/>
              </w:rPr>
            </w:pPr>
          </w:p>
        </w:tc>
      </w:tr>
      <w:tr>
        <w:trPr>
          <w:trHeight w:val="412"/>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10.22*</w:t>
            </w:r>
          </w:p>
        </w:tc>
        <w:tc>
          <w:tcPr>
            <w:tcW w:w="10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Technology Development Agreement effective as of May 7, 2012, by and between Imunon, Inc. and Zhejiang Hisun Pharmaceutical Co.</w:t>
              </w:r>
            </w:hyperlink>
          </w:p>
        </w:tc>
      </w:tr>
      <w:tr>
        <w:trPr>
          <w:trHeight w:val="196"/>
        </w:trPr>
        <w:tc>
          <w:tcPr>
            <w:tcW w:w="960" w:type="dxa"/>
            <w:vAlign w:val="bottom"/>
          </w:tcPr>
          <w:p>
            <w:pPr>
              <w:spacing w:after="0"/>
              <w:rPr>
                <w:sz w:val="17"/>
                <w:szCs w:val="17"/>
                <w:color w:val="auto"/>
              </w:rPr>
            </w:pPr>
          </w:p>
        </w:tc>
        <w:tc>
          <w:tcPr>
            <w:tcW w:w="10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Ltd., incorporated herein by reference to Exhibit 10.2 to the Quarterly Report on Form 10-Q of the Company for the quarter ended June 30,</w:t>
              </w:r>
            </w:hyperlink>
          </w:p>
        </w:tc>
      </w:tr>
      <w:tr>
        <w:trPr>
          <w:trHeight w:val="196"/>
        </w:trPr>
        <w:tc>
          <w:tcPr>
            <w:tcW w:w="9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2012 (SEC File No. 001-15911).</w:t>
              </w:r>
            </w:hyperlink>
          </w:p>
        </w:tc>
      </w:tr>
      <w:tr>
        <w:trPr>
          <w:trHeight w:val="20"/>
        </w:trPr>
        <w:tc>
          <w:tcPr>
            <w:tcW w:w="9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04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10.23*</w:t>
            </w:r>
          </w:p>
        </w:tc>
        <w:tc>
          <w:tcPr>
            <w:tcW w:w="10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Technology Development Contract dated as of January 18, 2013, by and between Imunon, Inc. and Zhejiang Hisun Pharmaceutical Co. Ltd.,</w:t>
              </w:r>
            </w:hyperlink>
          </w:p>
        </w:tc>
      </w:tr>
      <w:tr>
        <w:trPr>
          <w:trHeight w:val="196"/>
        </w:trPr>
        <w:tc>
          <w:tcPr>
            <w:tcW w:w="960" w:type="dxa"/>
            <w:vAlign w:val="bottom"/>
          </w:tcPr>
          <w:p>
            <w:pPr>
              <w:spacing w:after="0"/>
              <w:rPr>
                <w:sz w:val="17"/>
                <w:szCs w:val="17"/>
                <w:color w:val="auto"/>
              </w:rPr>
            </w:pPr>
          </w:p>
        </w:tc>
        <w:tc>
          <w:tcPr>
            <w:tcW w:w="10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incorporated herein by reference to Exhibit 10.1 to the Quarterly Report on Form 10-Q of the Company for the quarter ended March 31,</w:t>
              </w:r>
            </w:hyperlink>
          </w:p>
        </w:tc>
      </w:tr>
      <w:tr>
        <w:trPr>
          <w:trHeight w:val="196"/>
        </w:trPr>
        <w:tc>
          <w:tcPr>
            <w:tcW w:w="9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2013 (SEC File No. 001-15911).</w:t>
              </w:r>
            </w:hyperlink>
          </w:p>
        </w:tc>
      </w:tr>
      <w:tr>
        <w:trPr>
          <w:trHeight w:val="20"/>
        </w:trPr>
        <w:tc>
          <w:tcPr>
            <w:tcW w:w="9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04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10.24</w:t>
            </w:r>
          </w:p>
        </w:tc>
        <w:tc>
          <w:tcPr>
            <w:tcW w:w="10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Lease Agreement, executed July 21, 2011, by and between Imunon, Inc. and Brandywine Operating Partnership, L.P., incorporated herein</w:t>
              </w:r>
            </w:hyperlink>
          </w:p>
        </w:tc>
      </w:tr>
      <w:tr>
        <w:trPr>
          <w:trHeight w:val="196"/>
        </w:trPr>
        <w:tc>
          <w:tcPr>
            <w:tcW w:w="9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by reference to Exhibit 10.1 to the Current Report on Form 8-K of the Company filed on July 25, 2011 (SEC File No. 001-15911).</w:t>
              </w:r>
            </w:hyperlink>
          </w:p>
        </w:tc>
      </w:tr>
      <w:tr>
        <w:trPr>
          <w:trHeight w:val="20"/>
        </w:trPr>
        <w:tc>
          <w:tcPr>
            <w:tcW w:w="9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880" w:type="dxa"/>
            <w:vAlign w:val="bottom"/>
            <w:gridSpan w:val="7"/>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10.25</w:t>
            </w:r>
          </w:p>
        </w:tc>
        <w:tc>
          <w:tcPr>
            <w:tcW w:w="10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First Amendment to Lease Agreement, executed April 20, 2017, by and between Imunon, Inc. and Lenox Drive Office Park, LLC,</w:t>
              </w:r>
            </w:hyperlink>
          </w:p>
        </w:tc>
      </w:tr>
      <w:tr>
        <w:trPr>
          <w:trHeight w:val="196"/>
        </w:trPr>
        <w:tc>
          <w:tcPr>
            <w:tcW w:w="960" w:type="dxa"/>
            <w:vAlign w:val="bottom"/>
          </w:tcPr>
          <w:p>
            <w:pPr>
              <w:spacing w:after="0"/>
              <w:rPr>
                <w:sz w:val="17"/>
                <w:szCs w:val="17"/>
                <w:color w:val="auto"/>
              </w:rPr>
            </w:pPr>
          </w:p>
        </w:tc>
        <w:tc>
          <w:tcPr>
            <w:tcW w:w="10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incorporated herein by reference to Exhibit 10.1 to the Current Report on Form 10-Q of the Company filed on November 14, 2017 (SEC</w:t>
              </w:r>
            </w:hyperlink>
          </w:p>
        </w:tc>
      </w:tr>
      <w:tr>
        <w:trPr>
          <w:trHeight w:val="196"/>
        </w:trPr>
        <w:tc>
          <w:tcPr>
            <w:tcW w:w="960" w:type="dxa"/>
            <w:vAlign w:val="bottom"/>
          </w:tcPr>
          <w:p>
            <w:pPr>
              <w:spacing w:after="0"/>
              <w:rPr>
                <w:sz w:val="17"/>
                <w:szCs w:val="17"/>
                <w:color w:val="auto"/>
              </w:rPr>
            </w:pPr>
          </w:p>
        </w:tc>
        <w:tc>
          <w:tcPr>
            <w:tcW w:w="10120" w:type="dxa"/>
            <w:vAlign w:val="bottom"/>
            <w:gridSpan w:val="10"/>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File No. 001-15911).</w:t>
              </w:r>
            </w:hyperlink>
          </w:p>
        </w:tc>
      </w:tr>
      <w:tr>
        <w:trPr>
          <w:trHeight w:val="20"/>
        </w:trPr>
        <w:tc>
          <w:tcPr>
            <w:tcW w:w="9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5" w:lineRule="exact"/>
        <w:rPr>
          <w:sz w:val="20"/>
          <w:szCs w:val="20"/>
          <w:color w:val="auto"/>
        </w:rPr>
      </w:pPr>
    </w:p>
    <w:p>
      <w:pPr>
        <w:ind w:left="960" w:hanging="851"/>
        <w:spacing w:after="0" w:line="266" w:lineRule="auto"/>
        <w:tabs>
          <w:tab w:leader="none" w:pos="384" w:val="left"/>
        </w:tabs>
        <w:numPr>
          <w:ilvl w:val="0"/>
          <w:numId w:val="3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26</w:t>
      </w:r>
      <w:hyperlink r:id="rId120">
        <w:r>
          <w:rPr>
            <w:rFonts w:ascii="Times New Roman" w:cs="Times New Roman" w:eastAsia="Times New Roman" w:hAnsi="Times New Roman"/>
            <w:sz w:val="18"/>
            <w:szCs w:val="18"/>
            <w:u w:val="single" w:color="auto"/>
            <w:color w:val="0000EE"/>
          </w:rPr>
          <w:t>Second Amendment to Lease Agreement, dated January 9, 2019, by and between Celsion Corporation and Lenox Drive Office Park, LLC,</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successor in interest to Brandywine Operating Partnership, L.P., incorporated herein by reference to Exhibit 10-Q to the Current Report on</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Form 10-Q of the Company for the quarter ended March 31, 2019 (SEC File No. 001-15911).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60" w:hanging="823"/>
        <w:spacing w:after="0" w:line="266"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21">
        <w:r>
          <w:rPr>
            <w:rFonts w:ascii="Times New Roman" w:cs="Times New Roman" w:eastAsia="Times New Roman" w:hAnsi="Times New Roman"/>
            <w:sz w:val="18"/>
            <w:szCs w:val="18"/>
            <w:u w:val="single" w:color="auto"/>
            <w:color w:val="0000EE"/>
          </w:rPr>
          <w:t>Lease Agreement dated January 15, 2018, by and between Imunon, Inc. and HudsonAlpha Institute of Biotechnology for office and lab</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space located in Huntsville, Alabama incorporated herein by reference to Exhibit 10.1 to the Quarterly Report on Form 10-Q of the</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Company for the quarter ended March 31, 2018 (SEC File No. 001-15911).</w:t>
        </w:r>
      </w:hyperlink>
    </w:p>
    <w:p>
      <w:pPr>
        <w:spacing w:after="0" w:line="203" w:lineRule="exact"/>
        <w:rPr>
          <w:rFonts w:ascii="Times New Roman" w:cs="Times New Roman" w:eastAsia="Times New Roman" w:hAnsi="Times New Roman"/>
          <w:sz w:val="18"/>
          <w:szCs w:val="18"/>
          <w:u w:val="single" w:color="auto"/>
          <w:color w:val="0000EE"/>
        </w:rPr>
      </w:pPr>
    </w:p>
    <w:p>
      <w:pPr>
        <w:jc w:val="center"/>
        <w:ind w:right="1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80" w:top="702" w:right="339" w:bottom="1440" w:gutter="0" w:footer="0" w:header="0"/>
        </w:sectPr>
      </w:pPr>
    </w:p>
    <w:bookmarkStart w:id="77" w:name="page78"/>
    <w:bookmarkEnd w:id="77"/>
    <w:tbl>
      <w:tblPr>
        <w:tblLayout w:type="fixed"/>
        <w:tblInd w:w="160" w:type="dxa"/>
        <w:tblCellMar>
          <w:top w:w="0" w:type="dxa"/>
          <w:left w:w="0" w:type="dxa"/>
          <w:bottom w:w="0" w:type="dxa"/>
          <w:right w:w="0" w:type="dxa"/>
        </w:tblCellMar>
      </w:tblPr>
      <w:tr>
        <w:trPr>
          <w:trHeight w:val="207"/>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10.28</w:t>
            </w:r>
          </w:p>
        </w:tc>
        <w:tc>
          <w:tcPr>
            <w:tcW w:w="10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Settlement Agreement and Release, by and between the plaintiff to the shareholder action captioned O’Connor v. Braun, et al., N.J. Super.,</w:t>
              </w:r>
            </w:hyperlink>
          </w:p>
        </w:tc>
      </w:tr>
      <w:tr>
        <w:trPr>
          <w:trHeight w:val="196"/>
        </w:trPr>
        <w:tc>
          <w:tcPr>
            <w:tcW w:w="96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Dkt. No. MERC-00068-19, William J. O’Connor, derivatively on behalf of Imunon, Inc. and individually on behalf of himself and all other</w:t>
              </w:r>
            </w:hyperlink>
          </w:p>
        </w:tc>
      </w:tr>
      <w:tr>
        <w:trPr>
          <w:trHeight w:val="196"/>
        </w:trPr>
        <w:tc>
          <w:tcPr>
            <w:tcW w:w="96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similarly situated stockholders of Imunon, Inc. and defendants, incorporated herein by reference to Exhibit 10.2 to the Current Report on</w:t>
              </w:r>
            </w:hyperlink>
          </w:p>
        </w:tc>
      </w:tr>
      <w:tr>
        <w:trPr>
          <w:trHeight w:val="196"/>
        </w:trPr>
        <w:tc>
          <w:tcPr>
            <w:tcW w:w="96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8-K of the Company, filed on June 16, 2020 (SEC File No. 001-15911).</w:t>
              </w:r>
            </w:hyperlink>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10.29</w:t>
            </w:r>
          </w:p>
        </w:tc>
        <w:tc>
          <w:tcPr>
            <w:tcW w:w="10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Exercise Agreement, incorporated by reference to Exhibit 10.1 to the Current Report on Form 8-K of the Company, filed on March</w:t>
              </w:r>
            </w:hyperlink>
          </w:p>
        </w:tc>
      </w:tr>
      <w:tr>
        <w:trPr>
          <w:trHeight w:val="196"/>
        </w:trPr>
        <w:tc>
          <w:tcPr>
            <w:tcW w:w="960" w:type="dxa"/>
            <w:vAlign w:val="bottom"/>
          </w:tcPr>
          <w:p>
            <w:pPr>
              <w:spacing w:after="0"/>
              <w:rPr>
                <w:sz w:val="17"/>
                <w:szCs w:val="17"/>
                <w:color w:val="auto"/>
              </w:rPr>
            </w:pPr>
          </w:p>
        </w:tc>
        <w:tc>
          <w:tcPr>
            <w:tcW w:w="2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13, 2020 (SEC File No. 001-15911).</w:t>
              </w:r>
            </w:hyperlink>
          </w:p>
        </w:tc>
        <w:tc>
          <w:tcPr>
            <w:tcW w:w="7500" w:type="dxa"/>
            <w:vAlign w:val="bottom"/>
            <w:gridSpan w:val="7"/>
          </w:tcPr>
          <w:p>
            <w:pPr>
              <w:spacing w:after="0"/>
              <w:rPr>
                <w:sz w:val="17"/>
                <w:szCs w:val="17"/>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10.30</w:t>
            </w:r>
          </w:p>
        </w:tc>
        <w:tc>
          <w:tcPr>
            <w:tcW w:w="10120" w:type="dxa"/>
            <w:vAlign w:val="bottom"/>
            <w:gridSpan w:val="13"/>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At the Market Offering Agreement, dated May 25, 2022 by and between Celsion Corporation and H.C. Wainwright &amp; Co. LLC,</w:t>
              </w:r>
            </w:hyperlink>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incorporated by reference to Exhibit 10.1 to the Current Report on Form 8-K of the Company, filed on May 25, 2022, (SEC File NO. 001-</w:t>
              </w:r>
            </w:hyperlink>
          </w:p>
        </w:tc>
      </w:tr>
      <w:tr>
        <w:trPr>
          <w:trHeight w:val="196"/>
        </w:trPr>
        <w:tc>
          <w:tcPr>
            <w:tcW w:w="9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25">
              <w:r>
                <w:rPr>
                  <w:rFonts w:ascii="Times New Roman" w:cs="Times New Roman" w:eastAsia="Times New Roman" w:hAnsi="Times New Roman"/>
                  <w:sz w:val="18"/>
                  <w:szCs w:val="18"/>
                  <w:color w:val="0000EE"/>
                  <w:w w:val="93"/>
                </w:rPr>
                <w:t>15911).</w:t>
              </w:r>
            </w:hyperlink>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10.31</w:t>
            </w:r>
          </w:p>
        </w:tc>
        <w:tc>
          <w:tcPr>
            <w:tcW w:w="10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Amendment No. 1, dated May 15, 2024, to At the Market Offering Agreement, by and between Imunon, Inc. and H.C. Wainwright &amp; Co.</w:t>
              </w:r>
            </w:hyperlink>
          </w:p>
        </w:tc>
      </w:tr>
      <w:tr>
        <w:trPr>
          <w:trHeight w:val="196"/>
        </w:trPr>
        <w:tc>
          <w:tcPr>
            <w:tcW w:w="96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LLC, incorporated by reference to Exhibit 1.3 to the Company’s Registration Statement on Form S-3 (No. 333-279425) filed on May 15,</w:t>
              </w:r>
            </w:hyperlink>
          </w:p>
        </w:tc>
      </w:tr>
      <w:tr>
        <w:trPr>
          <w:trHeight w:val="196"/>
        </w:trPr>
        <w:tc>
          <w:tcPr>
            <w:tcW w:w="9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26">
              <w:r>
                <w:rPr>
                  <w:rFonts w:ascii="Times New Roman" w:cs="Times New Roman" w:eastAsia="Times New Roman" w:hAnsi="Times New Roman"/>
                  <w:sz w:val="18"/>
                  <w:szCs w:val="18"/>
                  <w:color w:val="0000EE"/>
                  <w:w w:val="93"/>
                </w:rPr>
                <w:t>2024.</w:t>
              </w:r>
            </w:hyperlink>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10.32</w:t>
            </w:r>
          </w:p>
        </w:tc>
        <w:tc>
          <w:tcPr>
            <w:tcW w:w="10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Securities Purchase Agreement, dated as of July 30, 2024, by and among the company and each purchaser party thereto,</w:t>
              </w:r>
            </w:hyperlink>
          </w:p>
        </w:tc>
      </w:tr>
      <w:tr>
        <w:trPr>
          <w:trHeight w:val="196"/>
        </w:trPr>
        <w:tc>
          <w:tcPr>
            <w:tcW w:w="960" w:type="dxa"/>
            <w:vAlign w:val="bottom"/>
          </w:tcPr>
          <w:p>
            <w:pPr>
              <w:spacing w:after="0"/>
              <w:rPr>
                <w:sz w:val="17"/>
                <w:szCs w:val="17"/>
                <w:color w:val="auto"/>
              </w:rPr>
            </w:pPr>
          </w:p>
        </w:tc>
        <w:tc>
          <w:tcPr>
            <w:tcW w:w="10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incorporated by reference to Exhibit 10.1 to the Current Report on Form 8-K of the Company, filed on July 31, 2024 (SEC File o. 001-</w:t>
              </w:r>
            </w:hyperlink>
          </w:p>
        </w:tc>
      </w:tr>
      <w:tr>
        <w:trPr>
          <w:trHeight w:val="196"/>
        </w:trPr>
        <w:tc>
          <w:tcPr>
            <w:tcW w:w="9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27">
              <w:r>
                <w:rPr>
                  <w:rFonts w:ascii="Times New Roman" w:cs="Times New Roman" w:eastAsia="Times New Roman" w:hAnsi="Times New Roman"/>
                  <w:sz w:val="18"/>
                  <w:szCs w:val="18"/>
                  <w:color w:val="0000EE"/>
                  <w:w w:val="93"/>
                </w:rPr>
                <w:t>15911).</w:t>
              </w:r>
            </w:hyperlink>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10.33***</w:t>
            </w:r>
          </w:p>
        </w:tc>
        <w:tc>
          <w:tcPr>
            <w:tcW w:w="10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Imunon, Inc. 2018 Stock Incentive Plan, as amended as of June 14, 2023, incorporated herein by reference to Exhibit 10.1 to the Current</w:t>
              </w:r>
            </w:hyperlink>
          </w:p>
        </w:tc>
      </w:tr>
      <w:tr>
        <w:trPr>
          <w:trHeight w:val="196"/>
        </w:trPr>
        <w:tc>
          <w:tcPr>
            <w:tcW w:w="96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Report on Form 8-K of the Company, filed with the Commission on June 15, 2023 (SEC File 001-15911).</w:t>
              </w:r>
            </w:hyperlink>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19+</w:t>
            </w:r>
          </w:p>
        </w:tc>
        <w:tc>
          <w:tcPr>
            <w:tcW w:w="1660" w:type="dxa"/>
            <w:vAlign w:val="bottom"/>
            <w:tcBorders>
              <w:top w:val="single" w:sz="8" w:color="0000EE"/>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5960" w:type="dxa"/>
            <w:vAlign w:val="bottom"/>
            <w:tcBorders>
              <w:top w:val="single" w:sz="8" w:color="0000EE"/>
            </w:tcBorders>
            <w:gridSpan w:val="7"/>
          </w:tcPr>
          <w:p>
            <w:pPr>
              <w:spacing w:after="0"/>
              <w:rPr>
                <w:sz w:val="24"/>
                <w:szCs w:val="24"/>
                <w:color w:val="auto"/>
              </w:rPr>
            </w:pPr>
          </w:p>
        </w:tc>
        <w:tc>
          <w:tcPr>
            <w:tcW w:w="2500" w:type="dxa"/>
            <w:vAlign w:val="bottom"/>
            <w:gridSpan w:val="2"/>
          </w:tcPr>
          <w:p>
            <w:pPr>
              <w:spacing w:after="0"/>
              <w:rPr>
                <w:sz w:val="24"/>
                <w:szCs w:val="24"/>
                <w:color w:val="auto"/>
              </w:rPr>
            </w:pPr>
          </w:p>
        </w:tc>
      </w:tr>
      <w:tr>
        <w:trPr>
          <w:trHeight w:val="412"/>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21.1+</w:t>
            </w:r>
          </w:p>
        </w:tc>
        <w:tc>
          <w:tcPr>
            <w:tcW w:w="20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Subsidiaries of Imunon, Inc.</w:t>
            </w:r>
          </w:p>
        </w:tc>
        <w:tc>
          <w:tcPr>
            <w:tcW w:w="8080" w:type="dxa"/>
            <w:vAlign w:val="bottom"/>
            <w:gridSpan w:val="8"/>
          </w:tcPr>
          <w:p>
            <w:pPr>
              <w:spacing w:after="0"/>
              <w:rPr>
                <w:sz w:val="24"/>
                <w:szCs w:val="24"/>
                <w:color w:val="auto"/>
              </w:rPr>
            </w:pPr>
          </w:p>
        </w:tc>
      </w:tr>
      <w:tr>
        <w:trPr>
          <w:trHeight w:val="412"/>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23.1+</w:t>
            </w: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WithumSmith+Brown, PC, independent registered public accounting firm for the Company.</w:t>
            </w:r>
          </w:p>
        </w:tc>
      </w:tr>
      <w:tr>
        <w:trPr>
          <w:trHeight w:val="412"/>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31.1+</w:t>
            </w:r>
          </w:p>
        </w:tc>
        <w:tc>
          <w:tcPr>
            <w:tcW w:w="74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c>
          <w:tcPr>
            <w:tcW w:w="2680" w:type="dxa"/>
            <w:vAlign w:val="bottom"/>
            <w:gridSpan w:val="3"/>
          </w:tcPr>
          <w:p>
            <w:pPr>
              <w:spacing w:after="0"/>
              <w:rPr>
                <w:sz w:val="24"/>
                <w:szCs w:val="24"/>
                <w:color w:val="auto"/>
              </w:rPr>
            </w:pPr>
          </w:p>
        </w:tc>
      </w:tr>
      <w:tr>
        <w:trPr>
          <w:trHeight w:val="412"/>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2900" w:type="dxa"/>
            <w:vAlign w:val="bottom"/>
            <w:gridSpan w:val="4"/>
          </w:tcPr>
          <w:p>
            <w:pPr>
              <w:spacing w:after="0"/>
              <w:rPr>
                <w:sz w:val="24"/>
                <w:szCs w:val="24"/>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32.1^</w:t>
            </w:r>
          </w:p>
        </w:tc>
        <w:tc>
          <w:tcPr>
            <w:tcW w:w="101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p>
        </w:tc>
      </w:tr>
      <w:tr>
        <w:trPr>
          <w:trHeight w:val="196"/>
        </w:trPr>
        <w:tc>
          <w:tcPr>
            <w:tcW w:w="9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520" w:type="dxa"/>
            <w:vAlign w:val="bottom"/>
            <w:gridSpan w:val="10"/>
          </w:tcPr>
          <w:p>
            <w:pPr>
              <w:spacing w:after="0"/>
              <w:rPr>
                <w:sz w:val="17"/>
                <w:szCs w:val="17"/>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32.2^</w:t>
            </w:r>
          </w:p>
        </w:tc>
        <w:tc>
          <w:tcPr>
            <w:tcW w:w="101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r>
      <w:tr>
        <w:trPr>
          <w:trHeight w:val="196"/>
        </w:trPr>
        <w:tc>
          <w:tcPr>
            <w:tcW w:w="9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520" w:type="dxa"/>
            <w:vAlign w:val="bottom"/>
            <w:gridSpan w:val="10"/>
          </w:tcPr>
          <w:p>
            <w:pPr>
              <w:spacing w:after="0"/>
              <w:rPr>
                <w:sz w:val="17"/>
                <w:szCs w:val="17"/>
                <w:color w:val="auto"/>
              </w:rPr>
            </w:pPr>
          </w:p>
        </w:tc>
      </w:tr>
    </w:tbl>
    <w:p>
      <w:pPr>
        <w:spacing w:after="0" w:line="225" w:lineRule="exact"/>
        <w:rPr>
          <w:sz w:val="20"/>
          <w:szCs w:val="20"/>
          <w:color w:val="auto"/>
        </w:rPr>
      </w:pPr>
    </w:p>
    <w:p>
      <w:pPr>
        <w:ind w:left="1120" w:hanging="716"/>
        <w:spacing w:after="0" w:line="282" w:lineRule="auto"/>
        <w:tabs>
          <w:tab w:leader="none" w:pos="1120" w:val="left"/>
        </w:tabs>
        <w:numPr>
          <w:ilvl w:val="0"/>
          <w:numId w:val="40"/>
        </w:numPr>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Compensation Recovery Policy, incorporated herein by reference to Exhibit 97 to the Annual Report of the Company for the year ended</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December 31, 2023 (SEC File No. 001-15911).</w:t>
        </w:r>
      </w:hyperlink>
    </w:p>
    <w:p>
      <w:pPr>
        <w:spacing w:after="0" w:line="162" w:lineRule="exact"/>
        <w:rPr>
          <w:rFonts w:ascii="Times New Roman" w:cs="Times New Roman" w:eastAsia="Times New Roman" w:hAnsi="Times New Roman"/>
          <w:sz w:val="18"/>
          <w:szCs w:val="18"/>
          <w:color w:val="auto"/>
        </w:rPr>
      </w:pPr>
    </w:p>
    <w:tbl>
      <w:tblPr>
        <w:tblLayout w:type="fixed"/>
        <w:tblInd w:w="160" w:type="dxa"/>
        <w:tblCellMar>
          <w:top w:w="0" w:type="dxa"/>
          <w:left w:w="0" w:type="dxa"/>
          <w:bottom w:w="0" w:type="dxa"/>
          <w:right w:w="0" w:type="dxa"/>
        </w:tblCellMar>
      </w:tblPr>
      <w:tr>
        <w:trPr>
          <w:trHeight w:val="234"/>
        </w:trPr>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101.INS</w:t>
            </w:r>
          </w:p>
        </w:tc>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101.SCH</w:t>
            </w:r>
          </w:p>
        </w:tc>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101.PRE</w:t>
            </w:r>
          </w:p>
        </w:tc>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w:t>
            </w:r>
          </w:p>
        </w:tc>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materials from the Company’s Annual Report for the fiscal year ended December 31, 2024, formatted in XBRL (Extensible</w:t>
            </w:r>
          </w:p>
        </w:tc>
      </w:tr>
      <w:tr>
        <w:trPr>
          <w:trHeight w:val="216"/>
        </w:trPr>
        <w:tc>
          <w:tcPr>
            <w:tcW w:w="820" w:type="dxa"/>
            <w:vAlign w:val="bottom"/>
          </w:tcPr>
          <w:p>
            <w:pPr>
              <w:spacing w:after="0"/>
              <w:rPr>
                <w:sz w:val="18"/>
                <w:szCs w:val="18"/>
                <w:color w:val="auto"/>
              </w:rPr>
            </w:pPr>
          </w:p>
        </w:tc>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Reporting Language): (i) the audited Consolidated Balance Sheets, (ii) the audited Consolidated Statements of Operations, (iii) the</w:t>
            </w:r>
          </w:p>
        </w:tc>
      </w:tr>
      <w:tr>
        <w:trPr>
          <w:trHeight w:val="216"/>
        </w:trPr>
        <w:tc>
          <w:tcPr>
            <w:tcW w:w="820" w:type="dxa"/>
            <w:vAlign w:val="bottom"/>
          </w:tcPr>
          <w:p>
            <w:pPr>
              <w:spacing w:after="0"/>
              <w:rPr>
                <w:sz w:val="18"/>
                <w:szCs w:val="18"/>
                <w:color w:val="auto"/>
              </w:rPr>
            </w:pPr>
          </w:p>
        </w:tc>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audited Consolidated Statements of Comprehensive Loss, (iv) the audited Consolidated Statements of Cash Flows, (v) the audited</w:t>
            </w:r>
          </w:p>
        </w:tc>
      </w:tr>
      <w:tr>
        <w:trPr>
          <w:trHeight w:val="234"/>
        </w:trPr>
        <w:tc>
          <w:tcPr>
            <w:tcW w:w="820" w:type="dxa"/>
            <w:vAlign w:val="bottom"/>
          </w:tcPr>
          <w:p>
            <w:pPr>
              <w:spacing w:after="0"/>
              <w:rPr>
                <w:sz w:val="20"/>
                <w:szCs w:val="20"/>
                <w:color w:val="auto"/>
              </w:rPr>
            </w:pPr>
          </w:p>
        </w:tc>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and (vi) Notes to Financial Statements.</w:t>
            </w:r>
          </w:p>
        </w:tc>
      </w:tr>
    </w:tbl>
    <w:p>
      <w:pPr>
        <w:spacing w:after="0" w:line="198" w:lineRule="exact"/>
        <w:rPr>
          <w:rFonts w:ascii="Times New Roman" w:cs="Times New Roman" w:eastAsia="Times New Roman" w:hAnsi="Times New Roman"/>
          <w:sz w:val="18"/>
          <w:szCs w:val="18"/>
          <w:color w:val="auto"/>
        </w:rPr>
      </w:pPr>
    </w:p>
    <w:p>
      <w:pPr>
        <w:ind w:left="1120" w:hanging="671"/>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request for confidential treatment under Rule 24b-2 of the Securities Exchange Act</w:t>
      </w:r>
    </w:p>
    <w:p>
      <w:pPr>
        <w:spacing w:after="0" w:line="27" w:lineRule="exact"/>
        <w:rPr>
          <w:rFonts w:ascii="Times New Roman" w:cs="Times New Roman" w:eastAsia="Times New Roman" w:hAnsi="Times New Roman"/>
          <w:sz w:val="18"/>
          <w:szCs w:val="18"/>
          <w:color w:val="auto"/>
        </w:rPr>
      </w:pPr>
    </w:p>
    <w:p>
      <w:pPr>
        <w:ind w:left="1120"/>
        <w:spacing w:after="0"/>
        <w:rPr>
          <w:sz w:val="20"/>
          <w:szCs w:val="20"/>
          <w:color w:val="auto"/>
        </w:rPr>
      </w:pPr>
      <w:r>
        <w:rPr>
          <w:rFonts w:ascii="Times New Roman" w:cs="Times New Roman" w:eastAsia="Times New Roman" w:hAnsi="Times New Roman"/>
          <w:sz w:val="18"/>
          <w:szCs w:val="18"/>
          <w:color w:val="auto"/>
        </w:rPr>
        <w:t>of 1934, amended, and the omitted material has been separately filed with the Securities and Exchange Commission.</w:t>
      </w:r>
    </w:p>
    <w:p>
      <w:pPr>
        <w:spacing w:after="0" w:line="9" w:lineRule="exact"/>
        <w:rPr>
          <w:rFonts w:ascii="Times New Roman" w:cs="Times New Roman" w:eastAsia="Times New Roman" w:hAnsi="Times New Roman"/>
          <w:sz w:val="18"/>
          <w:szCs w:val="18"/>
          <w:color w:val="auto"/>
        </w:rPr>
      </w:pPr>
    </w:p>
    <w:p>
      <w:pPr>
        <w:ind w:left="1120" w:hanging="677"/>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ind w:left="1120" w:hanging="668"/>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1120" w:hanging="716"/>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9" w:lineRule="exact"/>
        <w:rPr>
          <w:rFonts w:ascii="Times New Roman" w:cs="Times New Roman" w:eastAsia="Times New Roman" w:hAnsi="Times New Roman"/>
          <w:sz w:val="18"/>
          <w:szCs w:val="18"/>
          <w:color w:val="auto"/>
        </w:rPr>
      </w:pPr>
    </w:p>
    <w:p>
      <w:pPr>
        <w:ind w:left="1120" w:hanging="761"/>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3" w:lineRule="exact"/>
        <w:rPr>
          <w:rFonts w:ascii="Times New Roman" w:cs="Times New Roman" w:eastAsia="Times New Roman" w:hAnsi="Times New Roman"/>
          <w:sz w:val="18"/>
          <w:szCs w:val="18"/>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IMUNON, INC.</w:t>
            </w:r>
          </w:p>
        </w:tc>
      </w:t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Registrant</w:t>
            </w:r>
          </w:p>
        </w:tc>
      </w:tr>
      <w:tr>
        <w:trPr>
          <w:trHeight w:val="4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Lindborg, Ph.D.</w:t>
            </w:r>
          </w:p>
        </w:tc>
      </w:tr>
      <w:tr>
        <w:trPr>
          <w:trHeight w:val="198"/>
        </w:trPr>
        <w:tc>
          <w:tcPr>
            <w:tcW w:w="3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Stacy Lindborg, Ph.D.</w:t>
            </w:r>
          </w:p>
        </w:tc>
      </w:tr>
      <w:tr>
        <w:trPr>
          <w:trHeight w:val="234"/>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494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H. TARDUGNO</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STACY R. LINDBORG, Ph.D.</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Stacy R Lindborg, Ph.D.)</w:t>
            </w:r>
          </w:p>
        </w:tc>
        <w:tc>
          <w:tcPr>
            <w:tcW w:w="2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40" w:type="dxa"/>
            <w:vAlign w:val="bottom"/>
          </w:tcPr>
          <w:p>
            <w:pPr>
              <w:spacing w:after="0"/>
              <w:rPr>
                <w:sz w:val="20"/>
                <w:szCs w:val="20"/>
                <w:color w:val="auto"/>
              </w:rPr>
            </w:pPr>
          </w:p>
        </w:tc>
      </w:tr>
      <w:tr>
        <w:trPr>
          <w:trHeight w:val="41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GAIERO</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(David Gaiero)</w:t>
            </w:r>
          </w:p>
        </w:tc>
        <w:tc>
          <w:tcPr>
            <w:tcW w:w="2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FREDERICK J. FRITZ</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E. DENTZER</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DONALD BRAUN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(Donald Braun, Ph.D.)</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CHRISTINE PELLIZZARI</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Christine A. Pellizzari)</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2"/>
        </w:trPr>
        <w:tc>
          <w:tcPr>
            <w:tcW w:w="36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jc w:val="right"/>
              <w:ind w:right="297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Imunon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Imunon Inc. as of December 31, 2024 and 2023, and the related consolidated statements of operations, comprehensive loss, changes in stockholders’ equity, and cash flows for each of the two years in the period ended December 31, 2024, and the related notes (collectively referred to as the “financial statements”). In our opinion, the consolidated financial statements present fairly, in all material respects, the financial position of Imunon Inc.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Regarding Going Concern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entity will continue as a going concern. As discussed in Note 2 to the consolidated financial statements, the entity has suffered recurring losses from operations, has negative cashflows from operations, and has a significant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Imunon Inc.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Imunon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of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10 and 12 to the financial statements, in July 2024, the Company sold 5,000,000 shares of common stock at an offering price of $2.00 per share and warrants to purchase up to 5,000,000 shares of common stock, at a exercise price of $2.00 per share, for net proceeds of approximately $9 million. The Company determined that the Warrants met all the criteria for equity classification and recorded them as a component of additional paid-in capital upon the closing of the transaction in July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determination of the financial statement classification of the Warrants as a critical audit matter. Our principal considerations included the existence of accounting complexities related to certain provisions of the warrant agreement, including settlement provisions and derivative elements in applying the accounting standard. Auditing these elements involved especially complex auditor judgment due to the terms of the applicable agreement, including the extent of specialized knowledge and skills needed.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management’s application of the accounting guidance in determining the classification of the warrants in the financial statement by i) reviewing the relevant terms of the warrant agreement, (ii) evaluating the completeness and accuracy of the Company’s technical accounting analysis and the application of the relevant accounting literature.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personnel with specialized knowledge and skills in technical accounting to assist in: (i) evaluating the terms of the warrant agreement in relation to the relevant accounting literature, and (ii) assessing the appropriateness of conclusions reached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WithumSmith+Brown, PC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Imunon Inc.’s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5,872,767</w:t>
            </w: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5,838,566</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debt securities - available for sale, at fair value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9,857,087</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2,136,192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2,545,051</w:t>
            </w:r>
          </w:p>
        </w:tc>
      </w:tr>
      <w:tr>
        <w:trPr>
          <w:trHeight w:val="209"/>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8,008,959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18,240,704</w:t>
            </w:r>
          </w:p>
        </w:tc>
        <w:tc>
          <w:tcPr>
            <w:tcW w:w="100" w:type="dxa"/>
            <w:vAlign w:val="bottom"/>
            <w:tcBorders>
              <w:bottom w:val="single" w:sz="8" w:color="CCEEFF"/>
            </w:tcBorders>
          </w:tcPr>
          <w:p>
            <w:pPr>
              <w:spacing w:after="0"/>
              <w:rPr>
                <w:sz w:val="18"/>
                <w:szCs w:val="18"/>
                <w:color w:val="auto"/>
              </w:rPr>
            </w:pPr>
          </w:p>
        </w:tc>
      </w:tr>
      <w:tr>
        <w:trPr>
          <w:trHeight w:val="209"/>
        </w:trPr>
        <w:tc>
          <w:tcPr>
            <w:tcW w:w="6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541,272</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751,906</w:t>
            </w:r>
          </w:p>
        </w:tc>
      </w:tr>
      <w:tr>
        <w:trPr>
          <w:trHeight w:val="209"/>
        </w:trPr>
        <w:tc>
          <w:tcPr>
            <w:tcW w:w="6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1,280,385</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1,117,133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1,595,074</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0"/>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3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1,167,133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2,925,459</w:t>
            </w:r>
          </w:p>
        </w:tc>
        <w:tc>
          <w:tcPr>
            <w:tcW w:w="100" w:type="dxa"/>
            <w:vAlign w:val="bottom"/>
            <w:tcBorders>
              <w:bottom w:val="single" w:sz="8" w:color="CCEEFF"/>
            </w:tcBorders>
          </w:tcPr>
          <w:p>
            <w:pPr>
              <w:spacing w:after="0"/>
              <w:rPr>
                <w:sz w:val="18"/>
                <w:szCs w:val="18"/>
                <w:color w:val="auto"/>
              </w:rPr>
            </w:pPr>
          </w:p>
        </w:tc>
      </w:tr>
      <w:tr>
        <w:trPr>
          <w:trHeight w:val="209"/>
        </w:trPr>
        <w:tc>
          <w:tcPr>
            <w:tcW w:w="6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2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9,717,364</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21,918,069</w:t>
            </w:r>
          </w:p>
        </w:tc>
      </w:tr>
      <w:tr>
        <w:trPr>
          <w:trHeight w:val="20"/>
        </w:trPr>
        <w:tc>
          <w:tcPr>
            <w:tcW w:w="698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160" w:type="dxa"/>
            <w:vAlign w:val="bottom"/>
            <w:gridSpan w:val="3"/>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4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1,300,026</w:t>
            </w:r>
          </w:p>
        </w:tc>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3,515,192</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3,033,747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3,390,521</w:t>
            </w: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452,358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485,421</w:t>
            </w: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4,786,131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7,391,134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686,935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1,139,293</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5,473,066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8,530,427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 and 2023)</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14,500,707 and 9,399,811</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at December 31, 2024 and 2023, respectively, and 14,500,685 and 9,399,789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December 31, 2024 and 2023, respectively)</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145,007</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93,998</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410,987,523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401,500,838</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60,796</w:t>
            </w: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(406,803,044)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(388,182,802)</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4,329,486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13,472,830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(22 shares at December 31, 2024 and 2023)</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4,244,298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13,387,642</w:t>
            </w:r>
          </w:p>
        </w:tc>
        <w:tc>
          <w:tcPr>
            <w:tcW w:w="100" w:type="dxa"/>
            <w:vAlign w:val="bottom"/>
            <w:tcBorders>
              <w:bottom w:val="single" w:sz="8" w:color="CCEEFF"/>
            </w:tcBorders>
          </w:tcPr>
          <w:p>
            <w:pPr>
              <w:spacing w:after="0"/>
              <w:rPr>
                <w:sz w:val="18"/>
                <w:szCs w:val="18"/>
                <w:color w:val="auto"/>
              </w:rPr>
            </w:pPr>
          </w:p>
        </w:tc>
      </w:tr>
      <w:tr>
        <w:trPr>
          <w:trHeight w:val="209"/>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9,717,364</w:t>
            </w:r>
          </w:p>
        </w:tc>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21,918,069</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100" w:type="dxa"/>
            <w:vAlign w:val="bottom"/>
            <w:gridSpan w:val="5"/>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8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5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0"/>
        </w:trPr>
        <w:tc>
          <w:tcPr>
            <w:tcW w:w="5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11,639,411</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11,287,691</w:t>
            </w: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7,493,035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9,742,739</w:t>
            </w:r>
          </w:p>
        </w:tc>
      </w:tr>
      <w:tr>
        <w:trPr>
          <w:trHeight w:val="209"/>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19,132,446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21,030,430</w:t>
            </w:r>
          </w:p>
        </w:tc>
        <w:tc>
          <w:tcPr>
            <w:tcW w:w="100" w:type="dxa"/>
            <w:vAlign w:val="bottom"/>
            <w:tcBorders>
              <w:bottom w:val="single" w:sz="8" w:color="CCEEFF"/>
            </w:tcBorders>
          </w:tcPr>
          <w:p>
            <w:pPr>
              <w:spacing w:after="0"/>
              <w:rPr>
                <w:sz w:val="18"/>
                <w:szCs w:val="18"/>
                <w:color w:val="auto"/>
              </w:rPr>
            </w:pPr>
          </w:p>
        </w:tc>
      </w:tr>
      <w:tr>
        <w:trPr>
          <w:trHeight w:val="209"/>
        </w:trPr>
        <w:tc>
          <w:tcPr>
            <w:tcW w:w="5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(19,132,446)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(21,030,430)</w:t>
            </w:r>
          </w:p>
        </w:tc>
      </w:tr>
      <w:tr>
        <w:trPr>
          <w:trHeight w:val="209"/>
        </w:trPr>
        <w:tc>
          <w:tcPr>
            <w:tcW w:w="52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512,204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1,157,625</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(329,158)</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(197,080)</w:t>
            </w: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(396,319)</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512,204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(18,620,242)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(20,795,362)</w:t>
            </w:r>
          </w:p>
        </w:tc>
      </w:tr>
      <w:tr>
        <w:trPr>
          <w:trHeight w:val="216"/>
        </w:trPr>
        <w:tc>
          <w:tcPr>
            <w:tcW w:w="5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1,280,385</w:t>
            </w:r>
          </w:p>
        </w:tc>
      </w:tr>
      <w:tr>
        <w:trPr>
          <w:trHeight w:val="209"/>
        </w:trPr>
        <w:tc>
          <w:tcPr>
            <w:tcW w:w="5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(18,620,242)</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(19,514,977)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 basic and diluted</w:t>
            </w: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(1.62)</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 - basic and diluted</w:t>
            </w:r>
          </w:p>
        </w:tc>
        <w:tc>
          <w:tcPr>
            <w:tcW w:w="1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11,508,159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9,045,320</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680"/>
              <w:spacing w:after="0"/>
              <w:rPr>
                <w:sz w:val="20"/>
                <w:szCs w:val="20"/>
                <w:color w:val="auto"/>
              </w:rPr>
            </w:pPr>
            <w:r>
              <w:rPr>
                <w:rFonts w:ascii="Times New Roman" w:cs="Times New Roman" w:eastAsia="Times New Roman" w:hAnsi="Times New Roman"/>
                <w:sz w:val="18"/>
                <w:szCs w:val="18"/>
                <w:color w:val="auto"/>
              </w:rPr>
              <w:t>F-5</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51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1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gains on available for sale securities, net</w:t>
            </w:r>
          </w:p>
        </w:tc>
        <w:tc>
          <w:tcPr>
            <w:tcW w:w="2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34,302</w:t>
            </w:r>
          </w:p>
        </w:tc>
      </w:tr>
      <w:tr>
        <w:trPr>
          <w:trHeight w:val="216"/>
        </w:trPr>
        <w:tc>
          <w:tcPr>
            <w:tcW w:w="5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(18,620,242)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(19,514,977)</w:t>
            </w:r>
          </w:p>
        </w:tc>
      </w:tr>
      <w:tr>
        <w:trPr>
          <w:trHeight w:val="209"/>
        </w:trPr>
        <w:tc>
          <w:tcPr>
            <w:tcW w:w="5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(18,620,242)</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(19,480,675)</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100" w:type="dxa"/>
            <w:vAlign w:val="bottom"/>
            <w:gridSpan w:val="5"/>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ind w:right="1680"/>
              <w:spacing w:after="0"/>
              <w:rPr>
                <w:sz w:val="20"/>
                <w:szCs w:val="20"/>
                <w:color w:val="auto"/>
              </w:rPr>
            </w:pPr>
            <w:r>
              <w:rPr>
                <w:rFonts w:ascii="Times New Roman" w:cs="Times New Roman" w:eastAsia="Times New Roman" w:hAnsi="Times New Roman"/>
                <w:sz w:val="18"/>
                <w:szCs w:val="18"/>
                <w:color w:val="auto"/>
              </w:rPr>
              <w:t>F-6</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7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(18,620,242)</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(19,514,977)</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240,175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248,154</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477,941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471,851</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(gains) and losses, net, on investment securities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(61,983)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34,302</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477,256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759,013</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Realization of deferred income tax asset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1,280,385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286,641</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329,158</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Write-off of note receivable (Transomic)</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375,000</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finance charges and debt discount associated with note payable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55,122</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68,136</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408,859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(141,619)</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(3,057,361)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(1,992,929)</w:t>
            </w:r>
          </w:p>
        </w:tc>
      </w:tr>
      <w:tr>
        <w:trPr>
          <w:trHeight w:val="20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(18,854,970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(19,022,148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(57,174)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(13,541,806)</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9,915,448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25,000,000</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(29,541)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(451,759)</w:t>
            </w:r>
          </w:p>
        </w:tc>
      </w:tr>
      <w:tr>
        <w:trPr>
          <w:trHeight w:val="21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9,828,733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11,006,435</w:t>
            </w:r>
          </w:p>
        </w:tc>
        <w:tc>
          <w:tcPr>
            <w:tcW w:w="100" w:type="dxa"/>
            <w:vAlign w:val="bottom"/>
            <w:tcBorders>
              <w:bottom w:val="single" w:sz="8" w:color="CCEEFF"/>
            </w:tcBorders>
          </w:tcPr>
          <w:p>
            <w:pPr>
              <w:spacing w:after="0"/>
              <w:rPr>
                <w:sz w:val="18"/>
                <w:szCs w:val="18"/>
                <w:color w:val="auto"/>
              </w:rPr>
            </w:pPr>
          </w:p>
        </w:tc>
      </w:tr>
      <w:tr>
        <w:trPr>
          <w:trHeight w:val="210"/>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540"/>
        <w:spacing w:after="0" w:line="250" w:lineRule="auto"/>
        <w:rPr>
          <w:sz w:val="20"/>
          <w:szCs w:val="20"/>
          <w:color w:val="auto"/>
        </w:rPr>
      </w:pPr>
      <w:r>
        <w:rPr>
          <w:rFonts w:ascii="Times New Roman" w:cs="Times New Roman" w:eastAsia="Times New Roman" w:hAnsi="Times New Roman"/>
          <w:sz w:val="18"/>
          <w:szCs w:val="18"/>
          <w:color w:val="auto"/>
        </w:rPr>
        <w:t>Proceeds from sale of common stock equity, net of issuance costs Payoff of the SVB loan and accrued end-of-term fees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9,060,438</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2,781,438</w:t>
            </w:r>
          </w:p>
        </w:tc>
        <w:tc>
          <w:tcPr>
            <w:tcW w:w="60" w:type="dxa"/>
            <w:vAlign w:val="bottom"/>
          </w:tcPr>
          <w:p>
            <w:pPr>
              <w:spacing w:after="0"/>
              <w:rPr>
                <w:sz w:val="18"/>
                <w:szCs w:val="18"/>
                <w:color w:val="auto"/>
              </w:rPr>
            </w:pPr>
          </w:p>
        </w:tc>
      </w:tr>
      <w:tr>
        <w:trPr>
          <w:trHeight w:val="248"/>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(6,420,000)</w:t>
            </w:r>
          </w:p>
        </w:tc>
      </w:tr>
      <w:tr>
        <w:trPr>
          <w:trHeight w:val="209"/>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9,060,438</w:t>
            </w:r>
          </w:p>
        </w:tc>
        <w:tc>
          <w:tcPr>
            <w:tcW w:w="32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(3,638,562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200" w:lineRule="exact"/>
        <w:rPr>
          <w:sz w:val="20"/>
          <w:szCs w:val="20"/>
          <w:color w:val="auto"/>
        </w:rPr>
      </w:pPr>
    </w:p>
    <w:p>
      <w:pPr>
        <w:sectPr>
          <w:pgSz w:w="11900" w:h="16838" w:orient="portrait"/>
          <w:cols w:equalWidth="0" w:num="2">
            <w:col w:w="6260" w:space="720"/>
            <w:col w:w="4260"/>
          </w:cols>
          <w:pgMar w:left="320" w:top="68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34,201</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(11,654,275)</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year</w:t>
            </w:r>
          </w:p>
        </w:tc>
        <w:tc>
          <w:tcPr>
            <w:tcW w:w="66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5,838,566</w:t>
            </w: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17,492,841</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5,872,767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5,838,566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w:t>
            </w:r>
          </w:p>
        </w:tc>
        <w:tc>
          <w:tcPr>
            <w:tcW w:w="1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06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179,542</w:t>
            </w:r>
          </w:p>
        </w:tc>
        <w:tc>
          <w:tcPr>
            <w:tcW w:w="100" w:type="dxa"/>
            <w:vAlign w:val="bottom"/>
          </w:tcPr>
          <w:p>
            <w:pPr>
              <w:spacing w:after="0"/>
              <w:rPr>
                <w:sz w:val="19"/>
                <w:szCs w:val="19"/>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5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right of use asset and liability</w:t>
            </w:r>
          </w:p>
        </w:tc>
        <w:tc>
          <w:tcPr>
            <w:tcW w:w="306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1,911,049</w:t>
            </w:r>
          </w:p>
        </w:tc>
        <w:tc>
          <w:tcPr>
            <w:tcW w:w="100" w:type="dxa"/>
            <w:vAlign w:val="bottom"/>
          </w:tcPr>
          <w:p>
            <w:pPr>
              <w:spacing w:after="0"/>
              <w:rPr>
                <w:sz w:val="21"/>
                <w:szCs w:val="21"/>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1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Compr.</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560" w:type="dxa"/>
            <w:vAlign w:val="bottom"/>
          </w:tcPr>
          <w:p>
            <w:pPr>
              <w:spacing w:after="0"/>
              <w:rPr>
                <w:sz w:val="20"/>
                <w:szCs w:val="20"/>
                <w:color w:val="auto"/>
              </w:rPr>
            </w:pPr>
          </w:p>
        </w:tc>
        <w:tc>
          <w:tcPr>
            <w:tcW w:w="21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760" w:type="dxa"/>
            <w:vAlign w:val="bottom"/>
            <w:gridSpan w:val="4"/>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0" w:type="dxa"/>
            <w:vAlign w:val="bottom"/>
          </w:tcPr>
          <w:p>
            <w:pPr>
              <w:spacing w:after="0"/>
              <w:rPr>
                <w:sz w:val="20"/>
                <w:szCs w:val="20"/>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3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56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3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5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9,399,811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93,998</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$ 401,500,838</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5"/>
              </w:rPr>
              <w:t>$ (85,188)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60,796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6"/>
              </w:rPr>
              <w:t>$ (388,182,802)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13,387,642</w:t>
            </w:r>
          </w:p>
        </w:tc>
      </w:tr>
      <w:tr>
        <w:trPr>
          <w:trHeight w:val="216"/>
        </w:trPr>
        <w:tc>
          <w:tcPr>
            <w:tcW w:w="2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(18,620,242)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(18,620,242)</w:t>
            </w:r>
          </w:p>
        </w:tc>
      </w:tr>
      <w:tr>
        <w:trPr>
          <w:trHeight w:val="216"/>
        </w:trPr>
        <w:tc>
          <w:tcPr>
            <w:tcW w:w="2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5,088,796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50,888</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9,009,550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9,060,438</w:t>
            </w:r>
          </w:p>
        </w:tc>
        <w:tc>
          <w:tcPr>
            <w:tcW w:w="80" w:type="dxa"/>
            <w:vAlign w:val="bottom"/>
            <w:shd w:val="clear" w:color="auto" w:fill="CCEEFF"/>
          </w:tcPr>
          <w:p>
            <w:pPr>
              <w:spacing w:after="0"/>
              <w:rPr>
                <w:sz w:val="20"/>
                <w:szCs w:val="20"/>
                <w:color w:val="auto"/>
              </w:rPr>
            </w:pPr>
          </w:p>
        </w:tc>
      </w:tr>
      <w:tr>
        <w:trPr>
          <w:trHeight w:val="216"/>
        </w:trPr>
        <w:tc>
          <w:tcPr>
            <w:tcW w:w="2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upon vesting</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restricted shares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2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on investment securities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(60,796)</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(60,796)</w:t>
            </w:r>
          </w:p>
        </w:tc>
      </w:tr>
      <w:tr>
        <w:trPr>
          <w:trHeight w:val="216"/>
        </w:trPr>
        <w:tc>
          <w:tcPr>
            <w:tcW w:w="2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477,135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477,135</w:t>
            </w:r>
          </w:p>
        </w:tc>
        <w:tc>
          <w:tcPr>
            <w:tcW w:w="80" w:type="dxa"/>
            <w:vAlign w:val="bottom"/>
            <w:shd w:val="clear" w:color="auto" w:fill="CCEEFF"/>
          </w:tcPr>
          <w:p>
            <w:pPr>
              <w:spacing w:after="0"/>
              <w:rPr>
                <w:sz w:val="21"/>
                <w:szCs w:val="21"/>
                <w:color w:val="auto"/>
              </w:rPr>
            </w:pPr>
          </w:p>
        </w:tc>
      </w:tr>
      <w:tr>
        <w:trPr>
          <w:trHeight w:val="223"/>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14,500,707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145,007</w:t>
            </w: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410,987,523</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(85,188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(406,803,044</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4,244,298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8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Compr.</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18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86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3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700" w:type="dxa"/>
            <w:vAlign w:val="bottom"/>
          </w:tcPr>
          <w:p>
            <w:pPr>
              <w:spacing w:after="0"/>
              <w:rPr>
                <w:sz w:val="19"/>
                <w:szCs w:val="19"/>
                <w:color w:val="auto"/>
              </w:rPr>
            </w:pPr>
          </w:p>
        </w:tc>
        <w:tc>
          <w:tcPr>
            <w:tcW w:w="10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3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7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7,436,219</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$ 74,362</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$ 397,980,023</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w:t>
            </w:r>
          </w:p>
        </w:tc>
        <w:tc>
          <w:tcPr>
            <w:tcW w:w="10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 (85,188)</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$ 26,494</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6"/>
              </w:rPr>
              <w:t>$ (368,667,825)</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29,327,866</w:t>
            </w: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(19,514,977)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(19,514,977)</w:t>
            </w:r>
          </w:p>
        </w:tc>
      </w:tr>
      <w:tr>
        <w:trPr>
          <w:trHeight w:val="216"/>
        </w:trPr>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1,904,142</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19,041</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2,762,397</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2,781,438</w:t>
            </w:r>
          </w:p>
        </w:tc>
        <w:tc>
          <w:tcPr>
            <w:tcW w:w="80" w:type="dxa"/>
            <w:vAlign w:val="bottom"/>
            <w:shd w:val="clear" w:color="auto" w:fill="CCEEFF"/>
          </w:tcPr>
          <w:p>
            <w:pPr>
              <w:spacing w:after="0"/>
              <w:rPr>
                <w:sz w:val="20"/>
                <w:szCs w:val="20"/>
                <w:color w:val="auto"/>
              </w:rPr>
            </w:pPr>
          </w:p>
        </w:tc>
      </w:tr>
      <w:tr>
        <w:trPr>
          <w:trHeight w:val="216"/>
        </w:trPr>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upon vesting of</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59,450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595</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20"/>
                <w:szCs w:val="20"/>
                <w:color w:val="auto"/>
              </w:rPr>
            </w:pPr>
          </w:p>
        </w:tc>
      </w:tr>
      <w:tr>
        <w:trPr>
          <w:trHeight w:val="216"/>
        </w:trPr>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 net,</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investment securities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34,302</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34,302</w:t>
            </w:r>
          </w:p>
        </w:tc>
        <w:tc>
          <w:tcPr>
            <w:tcW w:w="80" w:type="dxa"/>
            <w:vAlign w:val="bottom"/>
            <w:shd w:val="clear" w:color="auto" w:fill="CCEEFF"/>
          </w:tcPr>
          <w:p>
            <w:pPr>
              <w:spacing w:after="0"/>
              <w:rPr>
                <w:sz w:val="20"/>
                <w:szCs w:val="20"/>
                <w:color w:val="auto"/>
              </w:rPr>
            </w:pPr>
          </w:p>
        </w:tc>
      </w:tr>
      <w:tr>
        <w:trPr>
          <w:trHeight w:val="216"/>
        </w:trPr>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758,418</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758,418</w:t>
            </w:r>
          </w:p>
        </w:tc>
        <w:tc>
          <w:tcPr>
            <w:tcW w:w="80" w:type="dxa"/>
            <w:vAlign w:val="bottom"/>
            <w:shd w:val="clear" w:color="auto" w:fill="CCEEFF"/>
          </w:tcPr>
          <w:p>
            <w:pPr>
              <w:spacing w:after="0"/>
              <w:rPr>
                <w:sz w:val="21"/>
                <w:szCs w:val="21"/>
                <w:color w:val="auto"/>
              </w:rPr>
            </w:pPr>
          </w:p>
        </w:tc>
      </w:tr>
      <w:tr>
        <w:trPr>
          <w:trHeight w:val="223"/>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9,399,811</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$ 93,998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401,500,838</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(85,188</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$ 60,796</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(388,182,802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13,387,642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Inc. (“Imunon” or the “Company”)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Phase II clinical studies. IMNN-001 works by instructing the body to produce safe and durable levels of powerful cancer-fighting molecules, such as interleukin-12 and interferon gamma, at the tumor site. Additionally, the Company has entered a first-in-human study of its COVID-19 booster vaccine (IMNN-101). The Company will continue to leverage these modalities and to advance the technological frontier of plasmid DNA to better serve patients with difficult-to-treat conditions.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(“Financial Statements”) of Imunon have been prepared in accordance with accounting principles generally accepted in the United States of America (“GAAP”) and include the accounts of the Company and CLSN Laboratories, Inc. The Company dissolved Celsion GmbH in 2023. All significant intercompany balances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Improvements to Reportable Segment Disclosures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disclosure requirements are required on an annual and interim basis and are applicable to entities with a single reportable segment. The amendments in the ASU require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ASU 2023-07 is effective for fiscal years beginning after December 15, 2023 and interim periods for fiscal years beginning after December 31, 2024, with early adoption allowed. We adopted this guidance as of January 1, 2024 on a retrospective basis and the adoption did not have a material impact on our consolidated financial statements. Refer to Note 3, “</w:t>
      </w:r>
      <w:r>
        <w:rPr>
          <w:rFonts w:ascii="Times New Roman" w:cs="Times New Roman" w:eastAsia="Times New Roman" w:hAnsi="Times New Roman"/>
          <w:sz w:val="18"/>
          <w:szCs w:val="18"/>
          <w:i w:val="1"/>
          <w:iCs w:val="1"/>
          <w:color w:val="auto"/>
        </w:rPr>
        <w:t>Segment Performance Measures and Expenses</w:t>
      </w:r>
      <w:r>
        <w:rPr>
          <w:rFonts w:ascii="Times New Roman" w:cs="Times New Roman" w:eastAsia="Times New Roman" w:hAnsi="Times New Roman"/>
          <w:sz w:val="18"/>
          <w:szCs w:val="18"/>
          <w:color w:val="auto"/>
        </w:rPr>
        <w:t>,” for new disclosures resulting from the adoption of ASU 2023-07.</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 to make estimates and assumptions that affect the reported amounts of assets and liabilities and disclosure of contingent assets and liabilities at the date of the Financial Statements and the reported amounts of expenses during the reporting period. Actual results could differ significantly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generate any revenue in 2024 or 2023 and there were no accounts receivable as of December 31, 2024 and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investments purchased with an original maturity of three months or less. A portion of these funds are not covered by FDIC insurance.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financial instruments approximate their respective fair values. Management believes that the carrying amounts of the Company’s financial instruments, including cash and cash equivalents and accounts payable approximate fair value due to the short-term nature of those instruments. Short-term investments are recorded at their estimated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classifies its investments in debt securities with readily determinable fair values as investments available-for-sale in accordance with Accounting Standards Codification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Available-for-sale securities consist of debt securities not classified as trading securities or as securities to be held to maturity. The Company has classified all of its investments as available-for-sale. Unrealized holding gains and losses on available-for-sale securities are reported as a net amount in accumulated other comprehensive gain or loss in stockholders’ equity until realized. Gains and losses on the sale of available-for-sale securities are determined using the specific identification method. The Company’s short-term investments consist of corporate bonds.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provided over the estimated useful lives of the related assets, ranging from three to seven years, using the straight-line method. Amortization is recognized over the lesser of the life of the asset or the lease term. Major renewals and improvements are capitalized at cost and ordinary repairs and maintenance are charged against operating expenses as incurred. Depreciation expense was approximately $240,000 and $248,000 for the years ended December 31, 2024 and 2023,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 There was no impairment of property or equipment during 2024 or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and Deposits on Clinical Programs and Other Current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Supplies are consumable items kept on hand to support the Company’s R&amp;D and manufacturing operations which includes prepaid expense, raw materials, clinical supplies and consumable items for clinical trials with alternate uses that are capitalized. Supplies are recorded at cost and are charged to expense as they are used in operations. The Company regularly reviews the quality and utilization of supplies to determine if future use of these supplies is probable. Due to the generic use of these supplies, they can be used in multiple projects other than those currently being studied.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include real property security deposits and other deposits which are contractually required and of a long-term nature.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establishes standards for the reporting and display of comprehensive income (loss) and its components in the Company’s consolidated financial statements. The objective of ASC 220 is to report a measure of comprehensive income (loss) of all changes in equity of an enterprise that result from transactions and other economic events in a period other than transactions with owners. Comprehensive gains (losses) result from changes in unrealized gains and losses from investment in debt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Supplies are consumable and recorded at cost and are charged to expense as they are used in operations. Equipment and facilities acquired for research and development activities that have alternative future uses are capitalized and charged to expense over their estimated useful lives.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 of 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the total number of shares of common stock issuable upon exercise of warrants and equity awards was 6,840,633 and 1,255,642, respectively. For the years ended December 31, 2024 and 2023, diluted loss per common share is the same as basic loss per common share as all options and all other warrants that were convertible into shares of the Company’s common stock were excluded from the calculation of diluted earnings attributable to common stockholders per common share as their effect would be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rate change occurs. Valuation allowances are established, when necessary, to reduce deferred tax assets to the amount expected to be realized.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 tax position is recognized as a benefit only if it is “more likely than not” that the tax position taken would be sustained in a tax examination, presuming that a tax examination will occur. The Company recognizes interest and/or penalties related to income tax matters in the income tax expense category.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more fully discussed in Note 10, on November 28, 2023, the Company received approval from the New Jersey Economic Development Authority to sell $1.3 million of its New Jersey net operating losses (“NOLs”), recognizing a tax benefit for the year ended December 31, 2023 for the net proceeds (approximately $1.3 million) by reducing the net operating loss valuation allowance. As more fully discussed in Note 10, on November 28, 2023, the Company was notified by the New Jersey Economic Development Authority that its application was approved and the Company entered into an agreement to sell this NOL. On March 22, 2024, the Company received approximately $1.3 million upon completion of the sale of the 2023 NOLs. During 2021, the New Jersey State Legislature increased the maximum lifetime benefit per company from $15 million to $20 million, which will allow the Company to participate in this innovative funding program in future years for up to an additional $0.4 million in net operating losses under this maximum lifetime benefit (see Note 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all share-based payment awards granted to employees and non-employees as stock-based compensation expense at grant date fair value. The Company’s share-based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Prior to the adoption of Accounting Standards Update (“ASU”) No. 2018-07, </w:t>
      </w:r>
      <w:r>
        <w:rPr>
          <w:rFonts w:ascii="Times New Roman" w:cs="Times New Roman" w:eastAsia="Times New Roman" w:hAnsi="Times New Roman"/>
          <w:sz w:val="18"/>
          <w:szCs w:val="18"/>
          <w:i w:val="1"/>
          <w:iCs w:val="1"/>
          <w:color w:val="auto"/>
        </w:rPr>
        <w:t xml:space="preserve">Compensation—Stock Compensation (Topic 718): Improvements to Nonemployee Share-Based Payment Accounting </w:t>
      </w:r>
      <w:r>
        <w:rPr>
          <w:rFonts w:ascii="Times New Roman" w:cs="Times New Roman" w:eastAsia="Times New Roman" w:hAnsi="Times New Roman"/>
          <w:sz w:val="18"/>
          <w:szCs w:val="18"/>
          <w:color w:val="auto"/>
        </w:rPr>
        <w:t>(“ASU No. 2018-07”) on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the measurement date for non-employee awards was generally the date the services were completed, resulting in financial reporting period adjustments to stock-based compensation during the vesting terms for changes in the fair value of the awards. Since the adoption of ASU 2018-07, the measurement date for non-employee awards is the date of grant without changes in the fair value of the award. There was no material impact as a result of adopting this new standard. Stock-based compensation costs for non-employees are recognized as expense over the vesting period on a straight-line basis. Stock-based compensation expense is classified in the accompanying consolidated statements of operations based on the function to which the related services are provided. Forfeitures are recorded as they occur.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Since there is limited historical data of the Company’s share price on the public market, the Company estimates its expected stock volatility based on the historical volatility of a publicly traded set of representative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Accounting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ordinary shares and whether warrant holders could potentially require “net cash settlement” in a circumstance outside of our control, among other conditions for equity classification. This assessment, which requires the use of professional judgment, is conducted at the time of warrant issuance and as of each subsequent quarterly period end-date while the warrants are outstanding.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warrants classified as liabilities are recognized as a non-cash gain or loss on our statements of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the warrants issued upon our financings in 2024 meet the criteria for equity classification under ASC 815, those warrants were classified as equity as of December 31, 2024. No warrants were issued in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are adopted by the Company as of the specified effective date. Unless otherwise discussed, the Company believes that the impact of recently issued accounting pronouncements will not have a material impact on the Company’s consolidated financial position, results of operations, and cash flows, or do not apply to its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disclosure requirements are required on an annual and interim basis and are applicable to entities with a single reportable segment. The amendments in the ASU require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ASU 2023-07 is effective for fiscal years beginning after December 15, 2023 and interim periods for fiscal years beginning after December 31, 2024, with early adoption allowed. We adopted this guidance as of January 1, 2024 on a retrospective basis and the adoption did not have a material impact on our consolidated financial statements. Refer to Note 3, “</w:t>
      </w:r>
      <w:r>
        <w:rPr>
          <w:rFonts w:ascii="Times New Roman" w:cs="Times New Roman" w:eastAsia="Times New Roman" w:hAnsi="Times New Roman"/>
          <w:sz w:val="18"/>
          <w:szCs w:val="18"/>
          <w:i w:val="1"/>
          <w:iCs w:val="1"/>
          <w:color w:val="auto"/>
        </w:rPr>
        <w:t>Segment Performance Measures and Expenses</w:t>
      </w:r>
      <w:r>
        <w:rPr>
          <w:rFonts w:ascii="Times New Roman" w:cs="Times New Roman" w:eastAsia="Times New Roman" w:hAnsi="Times New Roman"/>
          <w:sz w:val="18"/>
          <w:szCs w:val="18"/>
          <w:color w:val="auto"/>
        </w:rPr>
        <w:t>,” for new disclosures resulting from the adoption of ASU 2023-07.</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3" w:name="page94"/>
    <w:bookmarkEnd w:id="9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disclosure of disaggregated income taxes paid, prescribes standard categories for the components of the effective tax rate reconciliation, and modifies other income tax-related disclosures. ASU No. 2023-09 is effective for fiscal years beginning after December 15, 2024 and allows for adoption on a prospective basis, with a retrospective option. Early adoption is permitted. The Company is currently evaluating the impact of the ASU on the income tax disclosures within the consolidated financial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currently evaluating the impact that this change will have on the Company’s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CONDITION AND GOING CONCERN UNCERTAINTY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inception. For the year ended December 31, 2024, the Company had a net loss of $18.6 million and used $18.9 million to fund operations. As of December 31, 2024, the Company has incurred approximately $407 million of cumulative net losses. As of December 31, 2024, the Company had $5.9 million in cash and cash equivalents and short-term investments. The Company has substantial future capital requirements to continue its research and development activities and advance its drug candidates through various development stages. The Company believes these expenditures are essential for the commercialization of its drug candidates and technologies.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drug candidates. There can be no assurance that the Company will be able to commercialize its technology successfully or that profitability will ever be achieved. The Company expects that its operating results will fluctuate significantly in the future and will depend on a number of factors, many of which are outside the Company’s control.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Russian invasion of Ukraine and the unrest in the Middle East. The Company continues to monitor its operating activities in light of these events, and it is possible that these events could result in a variety of risks to the business. The specific impact, if any, is not readily determinable as of the date of these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NOLs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progress of research activities; the number and scope of research programs; the progress of preclinical and clinical development activities; the progress of the development efforts of parties with whom the Company has entered into research and development agreements; the costs associated with additional clinical trials of drug candidates; the ability to maintain current research and development licensing arrangements and to establish new research and development and licensing arrangements; the ability to achieve milestones under licensing arrangements; the costs involved in prosecuting and enforcing patent claims and other intellectual property rights; and the costs and timing of regulatory approvals.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4" w:name="page95"/>
    <w:bookmarkEnd w:id="94"/>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going concern basis. In making this assessment, management conducted a comprehensive review of the Company’s business plan including, but not limited to:</w:t>
      </w:r>
    </w:p>
    <w:p>
      <w:pPr>
        <w:spacing w:after="0" w:line="16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position for the year ended December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events and transactions the Company has entered into since December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flow and cash usage forecasts for the period one year from the issuance date of this Annual Report on Form 10-K;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capitalization structure including common stock outstanding and common stock issuable on exercise of warrants and equity awards, and other common stock issuable under equity plans;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support of the Company’s stockholders.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uncertainties involved in our business,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 Our estimated future capital requirements are uncertain and could change materially as a result of many factors, including the progress of our research, development, clinical, manufacturing, and commercialization activities.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has determined the Company has suffered recurring losses from operations and has an accumulated deficit that raises substantial doubt about our ability to continue as a going concern for the next twelve months from the issuance date of this Annual Report on Form 10-K. The report of our independent registered public accounting firm for the year ended December 31, 2024 includes an explanatory paragraph, which expresses substantial doubt about our ability to continue as a going concern. The financial statements do not include any adjustments that might result from the outcome of the uncertainty.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6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assessed its current expenditures and will be reducing the current spending requirements where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additional capital funding in the public and private markets through equity sales and/or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possible partnerships and collaborations;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potential out licensing for its drug candidates.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continue as a going concern may depend on our ability to raise additional capital, attain further operating efficiencies, reduce expenditures, and, ultimately, to generate revenue. There are no assurances that these future funding and operating efforts will be successful. If management is unsuccessful in these efforts, our current capital is not expected to be sufficient to fund our operations for the next twelve months.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3. SEGMENT PERFORMANCE MEASURES AND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one segment for the research and development of our product candidates. The Company’s chief operating decision maker (“CODM”) has been identified as the Chief Executive Officer and President, who reviews operating results to make decisions about allocating resources and assessing performance for the entire Company based on consolidated financial information. Consequently, we view the entire organization as one reportable segment and the strategic purpose of all operating activities (including general &amp; administrative expenses) is to support that one segment. As a pre-revenue research and development company, the CODM evaluates company-wide performance and allocates resources based on non-financial research and development milestones achieved, and to a lesser extent, financial measures of performance such as clinical development (research and development expenses) and general and administrative expenses incurred. Our CODM does not generally evaluate our performance using asset or historical cash flow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the significant expense categories and consolidated net loss details provided to the CODM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1,386</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189</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Vaccine</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1,420</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1,793</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641</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3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1,504</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315</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4,511</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(1,957)</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2,283</w:t>
            </w:r>
          </w:p>
        </w:tc>
        <w:tc>
          <w:tcPr>
            <w:tcW w:w="30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(257)</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9,742</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(2,249)</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DEBT SECURITIES AVAILABLE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debt securities available for sale with a fair value of $0 and $9,857,087 as of December 31, 2024 and 2023, respectively, consisted of U.S. Treasury securities and corporate debt securities. These investments are valued at estimated fair value, with unrealized gains and losses reported as a separate component of stockholders’ equity in accumulated other comprehensive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its debt securities classified as short-term investments on a regular basis for impairment. For debt securities in unrealized loss positions, the Company determines whether any portion of the decline in fair value below the amortized cost basis is due to credit-related factors if it neither intends to sell nor anticipates that it is more likely than not that it will be required to sell prior to recovery of the amortized cost basis. The Company considers factors such as the extent to which the market value has been less than the cost, any noted failure of the issuer to make scheduled payments, changes to the rating of the security and other relevant credit-related factors in determining whether or not a credit loss exists. During fiscal 2024 and 2023, the Company did not recognize an allowance for credit-related losses on any of our investments.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8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7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9,796,291</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9,857,087</w:t>
            </w:r>
          </w:p>
        </w:tc>
        <w:tc>
          <w:tcPr>
            <w:tcW w:w="80" w:type="dxa"/>
            <w:vAlign w:val="bottom"/>
          </w:tcPr>
          <w:p>
            <w:pPr>
              <w:spacing w:after="0"/>
              <w:rPr>
                <w:sz w:val="20"/>
                <w:szCs w:val="20"/>
                <w:color w:val="auto"/>
              </w:rPr>
            </w:pPr>
          </w:p>
        </w:tc>
      </w:tr>
      <w:tr>
        <w:trPr>
          <w:trHeight w:val="427"/>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 maturities</w:t>
            </w:r>
          </w:p>
        </w:tc>
        <w:tc>
          <w:tcPr>
            <w:tcW w:w="8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17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2,467,518</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2,490,775</w:t>
            </w:r>
          </w:p>
        </w:tc>
        <w:tc>
          <w:tcPr>
            <w:tcW w:w="80" w:type="dxa"/>
            <w:vAlign w:val="bottom"/>
          </w:tcPr>
          <w:p>
            <w:pPr>
              <w:spacing w:after="0"/>
              <w:rPr>
                <w:sz w:val="18"/>
                <w:szCs w:val="18"/>
                <w:color w:val="auto"/>
              </w:rPr>
            </w:pPr>
          </w:p>
        </w:tc>
      </w:tr>
      <w:tr>
        <w:trPr>
          <w:trHeight w:val="22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3-12 months</w:t>
            </w: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7,328,773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7,366,312</w:t>
            </w:r>
          </w:p>
        </w:tc>
        <w:tc>
          <w:tcPr>
            <w:tcW w:w="80" w:type="dxa"/>
            <w:vAlign w:val="bottom"/>
            <w:shd w:val="clear" w:color="auto" w:fill="CCEEFF"/>
          </w:tcPr>
          <w:p>
            <w:pPr>
              <w:spacing w:after="0"/>
              <w:rPr>
                <w:sz w:val="19"/>
                <w:szCs w:val="19"/>
                <w:color w:val="auto"/>
              </w:rPr>
            </w:pP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9,796,291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9,857,087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December 31, 2024 and 2023. The Company has reviewed individual securities to determine whether a decline in fair value below the amortizable cost basis is other than temporary.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 securities (all unrealized holding</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7"/>
        </w:trPr>
        <w:tc>
          <w:tcPr>
            <w:tcW w:w="4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gains and losses are less than 12 months at date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Holding Gains</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09"/>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gains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9,857,087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60,796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income, net, which includes net realized losses on sales of available for sale securities and investment income interest and dividends, is summarized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20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450,221</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2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61,983</w:t>
            </w: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431,801</w:t>
            </w:r>
          </w:p>
        </w:tc>
      </w:tr>
      <w:tr>
        <w:trPr>
          <w:trHeight w:val="22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512,204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VALUES OF FINANCIAL INSTRUMENTS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FASB ASC Section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or identical assets or liabilities in active markets that the entity has the ability to access as of the measurement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a reporting entity’s own assumptions that market participants would use in pricing an asset or liability.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and accounts payable are reflected in the consolidated balance sheets at their approximate estimated fair values primarily due to their short-term nature. The fair values of securities available for sale are determined by relying on the securities’ relationship to other benchmark quoted securities and classified its investments as Level 2 items in both 2024 and 2023. There were no transfers of assets or liabilities between Level 1 and Level 2 and no transfers in or out of Level 3 during the years ended December 31, 2024 and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 Active Markets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240" w:type="dxa"/>
            <w:vAlign w:val="bottom"/>
          </w:tcPr>
          <w:p>
            <w:pPr>
              <w:spacing w:after="0"/>
              <w:rPr>
                <w:sz w:val="18"/>
                <w:szCs w:val="18"/>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c>
          <w:tcPr>
            <w:tcW w:w="240" w:type="dxa"/>
            <w:vAlign w:val="bottom"/>
          </w:tcPr>
          <w:p>
            <w:pPr>
              <w:spacing w:after="0"/>
              <w:rPr>
                <w:sz w:val="18"/>
                <w:szCs w:val="18"/>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160" w:type="dxa"/>
            <w:vAlign w:val="bottom"/>
          </w:tcPr>
          <w:p>
            <w:pPr>
              <w:spacing w:after="0"/>
              <w:rPr>
                <w:sz w:val="20"/>
                <w:szCs w:val="20"/>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1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December 31, 2024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obligations, available for sale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obligations, available for sale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9,857,087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9,857,087</w:t>
            </w:r>
          </w:p>
        </w:tc>
        <w:tc>
          <w:tcPr>
            <w:tcW w:w="1220" w:type="dxa"/>
            <w:vAlign w:val="bottom"/>
            <w:gridSpan w:val="2"/>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at December 31, 2024 and 2023 consist of the following:</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(5-7 year life)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(3-5 year life)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167,351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191,932</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 (5-7 year life)</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619,024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607,054</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1,737,567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(1,196,295)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(2,102,272)</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541,272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751,906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OTHER ACCRUED LIABILITIES</w:t>
            </w: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accrued liabilities at December 31, 2024 and 2023 include the following:</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1,945,111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1,693,383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234,479</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3,033,747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SVB Loan Facility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2021, the Company entered into a $10 million loan facility (the “SVB Loan Facility”) with Silicon Valley Bank (“SVB”). Imunon immediately drew down $6 million from the SVB Loan Facility and used the funds to retire all outstanding indebtedness with Horizon Technology Finance Corporation pursuant to a loan agreement entered into on June 27, 2018, under which the Company had drawn down $10 million and repaid $5 million in August 2020. Concurrently with this transaction, the Company used $6.0 million of other available funds to establish a restricted cash account which served as security for the SVB Loan Facility.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jc w:val="both"/>
        <w:spacing w:after="0" w:line="261" w:lineRule="auto"/>
        <w:rPr>
          <w:sz w:val="20"/>
          <w:szCs w:val="20"/>
          <w:color w:val="auto"/>
        </w:rPr>
      </w:pPr>
      <w:r>
        <w:rPr>
          <w:rFonts w:ascii="Times New Roman" w:cs="Times New Roman" w:eastAsia="Times New Roman" w:hAnsi="Times New Roman"/>
          <w:sz w:val="18"/>
          <w:szCs w:val="18"/>
          <w:color w:val="auto"/>
        </w:rPr>
        <w:t>The SVB Loan Facility was in the form of money market secured indebtedness bearing interest at a calculated WSJ Prime-based variable rate. A final payment equal to 3% of the total $10 million commitment amount was due upon maturity or prepayment of the SVB Loan Facility. There was no facility commitment fee, and no stock or warrants were issued to SVB. Payments under the loan agreement were interest only for the first 24 months after loan closing, followed by a 24-month amortization period of principal and interest through the scheduled maturity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SVB Loan Facility, the Company incurred financing fees and expenses totaling $243,370 which was recorded and classified as debt discount and was amortized as interest expense using the effective interest method over the life of the loan. Also, in connection with the SVB Loan Facility, the Company was required to pay an end-of-term fee equal to 3.0% of the original loan amount at time of maturity. Therefore, these amounts totaling $300,000 were amortized as interest expense using the effective interest method over the life of the loan. During the year ended December 31, 2023, the Company incurred interest expense of $197,080 and amortized $329,158, as interest expense for debt discounts and end-of-term fee in connection with the SVB Loan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21, 2023, the Company repaid the outstanding principal balance, an early termination fee and the end-of-term charges in full satisfaction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Loan Facility. The following is a schedule of the amounts paid to SVB on April 21, 2023:</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 at April 21, 2023</w:t>
            </w:r>
          </w:p>
        </w:tc>
        <w:tc>
          <w:tcPr>
            <w:tcW w:w="7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Early termination fees</w:t>
            </w:r>
          </w:p>
        </w:tc>
        <w:tc>
          <w:tcPr>
            <w:tcW w:w="7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120,000</w:t>
            </w:r>
          </w:p>
        </w:tc>
        <w:tc>
          <w:tcPr>
            <w:tcW w:w="80" w:type="dxa"/>
            <w:vAlign w:val="bottom"/>
          </w:tcPr>
          <w:p>
            <w:pPr>
              <w:spacing w:after="0"/>
              <w:rPr>
                <w:sz w:val="18"/>
                <w:szCs w:val="18"/>
                <w:color w:val="auto"/>
              </w:rPr>
            </w:pPr>
          </w:p>
        </w:tc>
      </w:tr>
      <w:tr>
        <w:trPr>
          <w:trHeight w:val="22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charges</w:t>
            </w:r>
          </w:p>
        </w:tc>
        <w:tc>
          <w:tcPr>
            <w:tcW w:w="7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payoff amount</w:t>
            </w:r>
          </w:p>
        </w:tc>
        <w:tc>
          <w:tcPr>
            <w:tcW w:w="7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loss of $329,158 on the early termination of the SVB Loan Facility which represented the early termination fee and the end of the term fees, net of previously amortized interest expense totaling $334,212 on the date of its payoff.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for the years ended December 31, 2024 and 2023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44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9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442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29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29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2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(1,280,385)</w:t>
            </w:r>
          </w:p>
        </w:tc>
      </w:tr>
      <w:tr>
        <w:trPr>
          <w:trHeight w:val="223"/>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statutory tax rate to the effective rate for the years ended December 31, 2024 and 2023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21.00%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8.40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(2.74)</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True-Up</w:t>
            </w: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(0.07)</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0.11</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Change</w:t>
            </w: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0.57</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vs statutory rate</w:t>
            </w: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(0.75)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 of NOLs</w:t>
            </w: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(17.51)</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 and deferred rate change, net</w:t>
            </w:r>
          </w:p>
        </w:tc>
        <w:tc>
          <w:tcPr>
            <w:tcW w:w="1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(9.01)</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continue"/>
          </w:tcPr>
          <w:p>
            <w:pPr>
              <w:spacing w:after="0"/>
              <w:rPr>
                <w:sz w:val="19"/>
                <w:szCs w:val="19"/>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F-20</w:t>
            </w: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 as of December 31, 2024 and 2023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66,141,490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67,310,000</w:t>
            </w:r>
          </w:p>
        </w:tc>
        <w:tc>
          <w:tcPr>
            <w:tcW w:w="100" w:type="dxa"/>
            <w:vAlign w:val="bottom"/>
            <w:gridSpan w:val="2"/>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Section 174</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6,482,099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4,929,000</w:t>
            </w:r>
          </w:p>
        </w:tc>
        <w:tc>
          <w:tcPr>
            <w:tcW w:w="80" w:type="dxa"/>
            <w:vAlign w:val="bottom"/>
          </w:tcPr>
          <w:p>
            <w:pPr>
              <w:spacing w:after="0"/>
              <w:rPr>
                <w:sz w:val="18"/>
                <w:szCs w:val="18"/>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deferred tax assets, net</w:t>
            </w:r>
          </w:p>
        </w:tc>
        <w:tc>
          <w:tcPr>
            <w:tcW w:w="2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2,010,744</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2,016,000</w:t>
            </w:r>
          </w:p>
        </w:tc>
        <w:tc>
          <w:tcPr>
            <w:tcW w:w="80" w:type="dxa"/>
            <w:vAlign w:val="bottom"/>
            <w:shd w:val="clear" w:color="auto" w:fill="CCEEFF"/>
          </w:tcPr>
          <w:p>
            <w:pPr>
              <w:spacing w:after="0"/>
              <w:rPr>
                <w:sz w:val="19"/>
                <w:szCs w:val="19"/>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2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74,634,333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74,255,000</w:t>
            </w:r>
          </w:p>
        </w:tc>
        <w:tc>
          <w:tcPr>
            <w:tcW w:w="100" w:type="dxa"/>
            <w:vAlign w:val="bottom"/>
            <w:gridSpan w:val="2"/>
          </w:tcPr>
          <w:p>
            <w:pPr>
              <w:spacing w:after="0"/>
              <w:rPr>
                <w:sz w:val="18"/>
                <w:szCs w:val="18"/>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(74,634,333)</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(72,974,615)</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2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As of December 31, 2024, based on the Company’s history of earnings and its assessment of future earnings, management believes that it is more likely than not future taxable income will not be sufficient to realize the deferred tax assets. Therefore, full valuation allowance has been applied to deferred tax assets. At December 31, 2023, after its evaluation of its New Jersey NOLs as discussed more fully below, the Company reduced the valuation reserve and recognized $1.3 million as a deferred income tax asset. Such tax assets are available to be recognized and benefit future periods.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carry forwards of approximately $303 million. If unused, will expire starting in 2025 through 2037. The federal NOLs generated for the years ended after 2017 of approximately $101 million can be carried forward indefinitely. As of December 31, 2024, the Company had state net operating loss carryforwards of approximately $40 million, net of net operating losses utilized in prior years, and, if unused, will expire starting in 2029 through 2043.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2024, and 2023, there were no unrecognized tax benefits. The Company recognizes accrued interest and penalties as income tax expense. No amounts were accrued for the payment of interest and penalties at December 31, 2024 and 2023. The Company is currently not aware of any issues under review that could result in significant payments, accruals or material deviation from its position in the next year.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Sections 382 and 383 of the Internal Revenue Code provide for a limitation on the annual use of NOL and tax credit carryforwards following certain ownership changes that could limit the Company’s ability to utilize these carryforwards. The Company has completed an analysis to determine if such ownership changes have occurred and concluded it was more likely than not that there were changes in ownership. Due to the existence of full valuation allowance, limitations under Section 382 and 383 will not impact the Company’s effective tax rate. Further analyses will be performed prior to recognizing the benefits of any losses or credits in the financial statements.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considered under IRC Section 41 (relating to the research tax credit). For the year ended December 31, 2024, the Company performed an analysis based on available guidance and determined that it will continue to be in a loss position even after the required capitalization and amortization of its R&amp;E expenses. The Company will continue to monitor this issue for future developments, but it does not expect R&amp;E capitalization and amortization to require it to pay cash taxes now or in the near future. The Company’s income tax returns for 2020 to 2023 are still open and subject to audit. In addition, net operating losses arising from prior years are also subject to examination at the time they are utilized in future years.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 of New Jersey Net Operating Losses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New Jersey NOLs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As part of the Technology Business Tax Certificate Program, the Company sold $1.3 million of its New Jersey NOLs in 2023. The sale of these net operating losses resulted in net proceeds to the Company of approximately $1.3 million in 2024. During 2021, the New Jersey State Legislature increased the maximum lifetime benefit per company from $15 million to $20 million, which will allow the Company to participate in this funding program in future years for up to an additional $0.3 million in net operating losses under this maximum lifetime benefit.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However, the Company’s ability to offer and sell its securities in a primary offering on the 2024 Registration Statement is limited by General Instruction I.B.6 of Form S-3 (the “Baby Shelf Limitation”), which limits the amount that the Company can offer to up to one-third of its public float during any trailing 12-month period. The Company would no longer be subject to the Baby Shelf Limitation if its public float exceeds $75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15, 2024, the Company amended the At the Market Offering Agreement, dated as of May 25, 2022 (the “ATM Agreement”) with H.C. Wainwright</w:t>
      </w:r>
    </w:p>
    <w:p>
      <w:pPr>
        <w:spacing w:after="0" w:line="39" w:lineRule="exact"/>
        <w:rPr>
          <w:sz w:val="20"/>
          <w:szCs w:val="20"/>
          <w:color w:val="auto"/>
        </w:rPr>
      </w:pPr>
    </w:p>
    <w:p>
      <w:pPr>
        <w:jc w:val="both"/>
        <w:ind w:firstLine="8"/>
        <w:spacing w:after="0" w:line="253" w:lineRule="auto"/>
        <w:tabs>
          <w:tab w:leader="none" w:pos="1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(“Wainwright”) as sales agent. Pursuant to the terms of the amended ATM Agreement, the Company may offer and sell, from time to time, through Wainwright, shares of the Company’s common stock having an aggregate offering price of up to $5,500,000. The Company intends to use the net proceeds from any offering under the amended ATM Agreement for general corporate purposes, including research and development activities, capital expenditures and working capital.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Notwithstanding the termination of the ATM Prospectus, the ATM Agreement remains in full force and effect.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 2024, the Company filed a new prospectus supplement to the 2024 Registration Statement with the SEC for an aggregate offering price of up to $5,500,000 related to the potential issuance from time to time of the Company’s common stock pursuant to the ATM Agreement with Wainwright as sales agent.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sold 88,796 shares of common stock under the ATM Agreement for net proceeds of $99,506 during 2024. During 2023, the Company sold 1,878,488 shares of common stock under the ATM Agreement for net proceeds of $2,750,658. The Company sold 120,047 shares of common stock under the ATM Agreement for net proceeds of $105,693 from January 1, 2025 through February 21,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2024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the Purchasers, pursuant to which the Company issued, in a registered direct offering, an aggregate of 5,000,000 shares of the Company’s common stock at an offering price of $2.00 per share for gross proceeds of $10.0 million before the deduction of placement agent fees and offering expenses. In a concurrent private placement and also pursuant to the July 2024 Purchase Agreement, the Company issued to the Purchasers the Warrants to purchase an aggregate of 5,000,000 shares of its common stock at an exercise price of $2.00 per share.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Warrants became exercisable immediately after issuance for a term of five and one-half years following the date of issuance. The closing of the July 2024 Offering occurred on August 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2018 Annual Stockholders Meeting of the Company held on May 15, 2018, stockholders approved the Imunon, Inc. 2018 Stock Incentive Plan (the “2018 Plan”). The 2018 Plan, as adopted, permits the granting of 180,000 shares of Imunon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80,000 to a total of 260,000 under the 2018 Plan, as amended. 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 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 At the 2023 Annual Stockholders Meeting of the Company held on June 14, 2023, stockholders approved an amendment to the 2018 Plan, as previously amended, whereby the Company increased the number of shares of common stock available by 1,030,000 to a total of 1,970,000 under the 2018 Plan, as amended.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Imunon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Imunon must be at least 110% of such fair market value on the date of grant. Only officers and key employees may receive incentive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Compensation Committee of the Board of Directors approved the grant of inducement stock options (the “Inducement Option Grants”) to purchase a total of 110,000 shares of Imunon common stock. Each award has a grant date of the date of grant. Each Inducement Option Grant has a weighted exercise price of $1.02 per share. Each Inducement Option Grant vests over four years, with one-fourth vesting on the one-year anniversary of the employee’s first day of employment with the Company and one-fourth vesting on the second, third and fourth anniversaries thereafter, subject to the new employee’s continued service relationship with the Company on each such date. Each Inducement Option Grant has a ten-year term and is subject to the terms and conditions of the applicable stock option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there were a total of 1,975,073 shares of Imunon common stock reserved for issuance under the 2018 Plan, which were comprised of 1,555,073 shares of Imunon common stock subject to equity awards previously granted under the 2018 Plan and 2007 Plan and 420,000 shares of Imunon common stock available for future issuance under the 2018 Plan. As of December 31, 2024, there are a total of 130,500 shares of Imunon common stock subject to outstanding inducement awards.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was approximately $0.5 million and $0.8 million during 2024 and 2023, respectively. Of these amounts, $0.3 million and $0.2 million were charged to research and development expenses during 2024 and 2023, respectively, and $0.2 million and $0.6 million were charged to general and administrative expenses during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A summary of stock option awards as of December 31, 2024 and changes during the two-year period ended December 31,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20"/>
                <w:szCs w:val="20"/>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760,220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432,500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canceled or expired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(129,238)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9.37</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1,063,482</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2.61</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1,051,835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canceled or expired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(469,444)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1.58</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1,645,873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1.95</w:t>
            </w:r>
          </w:p>
        </w:tc>
        <w:tc>
          <w:tcPr>
            <w:tcW w:w="1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13,476</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907,723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2.58</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7,299</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non-vested restricted stock awards as of December 31, 2024 and changes during the two-year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Outstanding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 outstanding at January 1, 2023</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0.92</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10"/>
        </w:trPr>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 outstanding at December 31, 2023</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r>
      <w:tr>
        <w:trPr>
          <w:trHeight w:val="223"/>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 outstanding at December 31, 2024</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summary of stock options outstanding at December 31, 2024 by price range is as follows:</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Term (in</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Term (in</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0" w:type="dxa"/>
            <w:vAlign w:val="bottom"/>
          </w:tcPr>
          <w:p>
            <w:pPr>
              <w:spacing w:after="0"/>
              <w:rPr>
                <w:sz w:val="1"/>
                <w:szCs w:val="1"/>
                <w:color w:val="auto"/>
              </w:rPr>
            </w:pPr>
          </w:p>
        </w:tc>
      </w:tr>
      <w:tr>
        <w:trPr>
          <w:trHeight w:val="238"/>
        </w:trPr>
        <w:tc>
          <w:tcPr>
            <w:tcW w:w="33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$1.50</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1,250,252</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513,433</w:t>
            </w:r>
          </w:p>
        </w:tc>
        <w:tc>
          <w:tcPr>
            <w:tcW w:w="1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 to $4.50</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207,345</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206,289</w:t>
            </w:r>
          </w:p>
        </w:tc>
        <w:tc>
          <w:tcPr>
            <w:tcW w:w="16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Above $4.51</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188,276</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7.28</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188,001</w:t>
            </w:r>
          </w:p>
        </w:tc>
        <w:tc>
          <w:tcPr>
            <w:tcW w:w="1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1,645,873</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907,723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F-24</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03" w:name="page104"/>
    <w:bookmarkEnd w:id="103"/>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Imunon’s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4340" w:type="dxa"/>
            <w:vAlign w:val="bottom"/>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900" w:type="dxa"/>
            <w:vAlign w:val="bottom"/>
            <w:tcBorders>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 to 4.50%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3.39 % to 4.81%</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101.7% to 115.8%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to 113.6%</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 to 10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 to 10</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As of December 31, 2024, there was $0.5 million of total unrecognized compensation cost related to non-vested stock-based compensation arrangements. That cost is expected to be recognized over a weighted-average period of 1.4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assessment, which requires the use of professional judgment, is conducted at the time of warrant issuance and as of each subsequent quarterly period end date while the warrants are outstanding.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has analyzed the Warrants issued in the July 2024 Offering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as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two years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532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Warrants Issued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January 1, 2023</w:t>
            </w: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Warrants expired during 2023</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37.29</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and exercisable at December 31, 2023</w:t>
            </w:r>
          </w:p>
        </w:tc>
        <w:tc>
          <w:tcPr>
            <w:tcW w:w="1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during 2024</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expired during 2024</w:t>
            </w: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11.85</w:t>
            </w:r>
          </w:p>
        </w:tc>
      </w:tr>
      <w:tr>
        <w:trPr>
          <w:trHeight w:val="263"/>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 outstanding and exercisable at December 31, 2024</w:t>
            </w:r>
          </w:p>
        </w:tc>
        <w:tc>
          <w:tcPr>
            <w:tcW w:w="14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5,155,060</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tcPr>
          <w:p>
            <w:pPr>
              <w:spacing w:after="0"/>
              <w:rPr>
                <w:sz w:val="22"/>
                <w:szCs w:val="22"/>
                <w:color w:val="auto"/>
              </w:rPr>
            </w:pPr>
          </w:p>
        </w:tc>
      </w:tr>
      <w:tr>
        <w:trPr>
          <w:trHeight w:val="197"/>
        </w:trPr>
        <w:tc>
          <w:tcPr>
            <w:tcW w:w="5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December 31, 2024</w:t>
            </w:r>
          </w:p>
        </w:tc>
        <w:tc>
          <w:tcPr>
            <w:tcW w:w="1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(years)</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1400"/>
              <w:spacing w:after="0"/>
              <w:rPr>
                <w:sz w:val="20"/>
                <w:szCs w:val="20"/>
                <w:color w:val="auto"/>
              </w:rPr>
            </w:pPr>
            <w:r>
              <w:rPr>
                <w:rFonts w:ascii="Times New Roman" w:cs="Times New Roman" w:eastAsia="Times New Roman" w:hAnsi="Times New Roman"/>
                <w:sz w:val="18"/>
                <w:szCs w:val="18"/>
                <w:color w:val="auto"/>
              </w:rPr>
              <w:t>F-25</w:t>
            </w: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13. IMUNON EMPLOYEE BENEFIT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maintains a defined-contribution plan under Section 401(k) of the Code. The plan covers substantially all employees over the age of twenty-one. Participating employees may defer a portion of their pretax earnings, up to the IRS annual contribution limit. The Company makes a matching contribution up to a maximum of 3% of an employee’s annual salary. The Company’s total matching contributions for the year ended December 31, 2024 and 2023 were $62,000 and $142,000,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Lawrenceville, New Jersey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 renewed its Lawrenceville office lease for a 24-month agreement for 9,850 square feet with monthly rent payments of approximately $22,983 to $23,394.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Huntsville, Alabama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renewed its Huntsville facility lease for a 60-month lease agreement for 11,420 square feet with monthly rent payments of approximately $28,550 to $30,903.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lease payments and maturity of the Company’s operating lease liabilities as of December 31, 2024:</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year ending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543,009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2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1,139,293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2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 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used was the Company’s incremental borrowing rate, which is 9.98%, as the Company could not determine the rate implicit in the lease.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operating lease expense was $652,166 and cash paid for operating leases included in operating cash flows was $659,646. For 2023, operating lease expense was $646,633 and cash paid for operating leases included in operating cash flows was $644,593. Amortization expense was approximately $478,000 and $472,000 for the years ended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16, 2022, the Company entered into a convertible note purchase agreement with Transomic Technologies, Inc. (“Transomic”) whereby the Company purchased $375,000 of convertible notes secured by certain assets held by Transomic and warrants. Imunon purchased products from Transomic for research and development purposes – primarily delivery vectors for its vaccine program. As a result of this investment in Transomic, Imunon’s executive chairman, Mr. Michael Tardugno, was appointed to the Board of Directors of Transomic. The Company disclosed the notes receivable as a related party transaction. In December 2023, Transomic filed a formal certificate of dissolution of the company resulting in a complete write-off of the convertible note and related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its subsequent events from December 31, 2024, through the date these condensed consolidated financial statements were issued, determining all subsequent events have been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5" w:name="page106"/>
    <w:bookmarkEnd w:id="105"/>
    <w:p>
      <w:pPr>
        <w:ind w:left="10200"/>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 AS AMENDED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summary of the general terms and provisions of the capital stock of Imunon, Inc. (“Imunon”, “we”, “our”) does not purport to be complete and is subject to, and qualified in its entirety by, reference to our Amended and Restated Certificate of Incorporation (“certificate of incorporation”) our Amended and Restated Bylaws (“bylaws”) each of which is incorporated by reference as an exhibit to our most recent Annual Report on Form 10-K filed with the Securities and Exchange Commission, and applicable provisions of the Delaware General Corporation Law (the “DGCL”). Our common stock, par value $0.01 per share is registered pursuant to Section 12(b) of the Securities and Exchange Act of 1934 and trades on the Nasdaq Capital Market under the symbol IMNN. The summaries below do not purport to be complete statements of the relevant provisions of the certificate of incorporation, the bylaws or the DGCL.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112,500,000 shares of common stock, par value $0.01 per share and 100,000 shares of preferred stock, par value $0.01 per share, all of which preferred stock is undesignated.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of record on all matters submitted to a vote of stockholders and do not have cumulative voting rights. Subject to any preferential rights of any outstanding preferred stock, holders of common stock are entitled to receive ratably such dividends, if any, as may be declared from time to time by our board of directors out of funds legally available therefor. In the event of a dissolution, liquidation or winding-up of the Company, holders of common stock are entitled to share ratably in all assets remaining after payment of liabilities and any preferential rights of any outstanding preferred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preemptive or conversion rights or other subscription rights. There are no redemption or sinking fund provisions applicable to our common stock. All outstanding shares of common stock are fully paid and non-assessable. The rights, preferences and privileges of the holders of common stock are subject to, and may be adversely affected by, the rights of the holders of shares of any series of preferred stock which may be designated and issued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“IMNN.”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3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Equiniti Trust Company, LLC is located at 6201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Brooklyn, NY 11219. Their telephone number is (888) 999-0032.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our certificate of incorporation, our board of directors has the authority, without further action by the stockholders (unless such stockholder action is required by applicable law or NASDAQ rules), to designate and issue shares of preferred stock in one or more series, to establish from time to time the number of shares to be included in each such series, to fix the designations, powers (including voting), privileges, preferences and relative participating, optional or other rights, if any, of the shares of each such series and the qualifications, limitations or restrictions thereof and to increase or decrease the number of shares of any such series, but not below the number of shares of such series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jc w:val="both"/>
        <w:spacing w:after="0" w:line="266" w:lineRule="auto"/>
        <w:rPr>
          <w:sz w:val="20"/>
          <w:szCs w:val="20"/>
          <w:color w:val="auto"/>
        </w:rPr>
      </w:pPr>
      <w:r>
        <w:rPr>
          <w:rFonts w:ascii="Times New Roman" w:cs="Times New Roman" w:eastAsia="Times New Roman" w:hAnsi="Times New Roman"/>
          <w:sz w:val="18"/>
          <w:szCs w:val="18"/>
          <w:color w:val="auto"/>
        </w:rPr>
        <w:t>We will fix the designations, powers (including voting), privileges, preferences and relative participating, optional or other rights, if any, of the preferred stock of each series, as well as the qualifications, limitations or restrictions thereof, in the certificate of designation relating to that series. The certificate of designation will describe the terms of the series of preferred stock. This description will include:</w:t>
      </w:r>
    </w:p>
    <w:p>
      <w:pPr>
        <w:spacing w:after="0" w:line="176"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or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or exchangeable for other securities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as to further calls or to assessment by the Company,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provides otherwise, the number of authorized shares of the class or the powers, preferences or special rights of the class or series so as to adversely affect the class or series, as the case may be. This right is in addition to any voting rights that may be provided in the applicable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or other securities. Preferred stock could be issued quickly with terms designed to delay or prevent a change in control of our Company or make removal of management more difficult. Additionally, the issuance of preferred stock may have the effect of decreasing the market price of our common stock.</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Considerations and Special Provisions of Our Certificate of Incorporation, Our Bylaws and the Delaware General Corporation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number of provisions of our certificate of incorporation and bylaws concern matters of corporate governance and the rights of our stockholders. Provisions that grant our board of directors the ability to issue shares of preferred stock and to set the voting rights, preferences and other terms thereof may discourage takeover attempts that are not first approved by our board of directors, including takeovers that may be considered by some stockholders to be in their best interests, such as those attempts that might result in a premium over the market price for the shares held by stockholders. Certain provisions could delay or impede the removal of incumbent directors even if such removal would be beneficial to our stockholders, such as the classification of our board of directors and the lack of cumulative voting.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our board of directors has the power to retain and discharge our officers, these provisions could also make it more difficult for existing stockholders or another party to effect a change in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changes in our control or in our management. These provisions are intended to enhance the likelihood of continued stability in the composition of our board of directors and in the policies they implement and to discourage certain types of transactions that may involve an actual or threatened change of our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provisions also could discourage or make more difficult a merger, tender offer or proxy contest, even if they could be favorable to the interests of stockholders, and could potentially depress the market price of our common stock. Our board of directors believes that these provisions are appropriate to protect our interests and the interests of our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Board; No Cumulative Voting.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representing a majority of the shares of common stock outstanding will be able to elect all of our directors due to be elected at each annual meeting of our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Meetings of and Actions by Stockholders.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bylaws provide that annual meetings of our stockholders may take place at the time and place designated by our board of directors. A special meeting of our stockholders may be called at any time by our board of directors, the chairman of our board of directors or the president. Our bylaws provide that (i) our board of directors can fix separate record dates for determining stockholders entitled to receive notice of a stockholder meeting and for determining stockholders entitled to vote at the meeting; (ii) we may hold a stockholder meeting by means of remote communications; (iii) any stockholder seeking to have the stockholders authorize or take corporate action by written consent shall, by written notice to the secretary of the Company, request that the board fix a record date and the board shall adopt a resolution fixing the record date in all events within ten calendar days after a request is received; and (iv) a written consent of stockholders shall not be effective unless a written consent signed by a sufficient number of stockholders to take such action is received by us within 60 calendar days of the earliest dated written consent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by, the secretary of the Company at our principal executive offices not later than the close of business on the 90th calendar day, nor earlier than the close of business on the 120th calendar day in advance of the date specified in the Company’s proxy statement released to stockholders in connection with the previous year’s annual meeting of stockholders. If the date of the annual meeting is more than 30 calendar days before or after such anniversary date, notice by the stockholder to be timely must be so not earlier than the close of business on the 120th calendar day in advance of such date of annual meeting and not later than the close of business on the later of the 90th calendar day in advance of such date of annual meeting or the tenth calendar day following the date on which public announcement of the date of the meeting is made. In no event shall the public announcement of an adjournment or postponement of an annual meeting commence a new time period (or extend any time period) for the giving of an advance notice by any stockholder. Any stockholder that proposes director nominations or other business must be a stockholder of record at the time the advance notice is delivered by such stockholder to us and entitled to vote at the meeting. Our bylaws also specify requirements as to the form and content of a stockholder’s notice. These provisions may preclude stockholders from bringing matters before an annual meeting of stockholders or from making nominations for the election of directors at an annual meeting of stockholders. Unless otherwise required by law, any director nomination or other business shall not be made or transacted if the stockholder (or a qualified representative of the stockholder) does not appear at the meeting to present the director nominee or other proposed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Filling of Board Vacancies.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size of our board of directors shall be determined by the board by board resolution from time to time and that our board of directors has the exclusive power to fill any vacancies and newly created directorships resulting from any increase in the authorized number of directors and the stockholders do not have the power to fill such vacancies. Vacancies in our board of directors and newly created directorships resulting from any increase in the authorized number of directors on our board of directors may be filled by a majority of the directors remaining in office, even though that number may be less than a quorum of our board of directors, or by a sole remaining director. A director so elected to fill a vacancy shall serve for the remaining term of the predecessor he or she replaced and until his or her successor is elected and has qualified, or until his or her earlier resignation, removal or death.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the Certificate of Incorporation.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may be amended, altered, changed or repealed at a meeting of our stockholders entitled to vote thereon by the affirmative vote of a majority of the outstanding stock entitled to vote thereon and a majority of the outstanding stock of each class entitled to vote thereon as a class, in the manner prescribed by the DGCL.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the Bylaws.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may be amended or repealed, or new bylaws may be adopted, by either our board of directors or the affirmative vote of at least 66 2/3 percent of the voting power of our outstanding shares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62"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percent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pursuant to employee stock plans in which employee participants do not have the right to determine confidentially whether shares held subject to the plan will be tendered in a tender or exchange offer;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percent of the outstanding voting stock that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transfer, pledge or other disposition of ten percent or more of the assets of the corporation to or with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loss, advances, guarantees, pledges or other financial benefits by or through the corporation.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percent or more of the outstanding voting stock of the corporation.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ind w:left="9160"/>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906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6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6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6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6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Subsidiaries of Imunon, Inc.</w:t>
            </w:r>
          </w:p>
        </w:tc>
      </w:tr>
      <w:tr>
        <w:trPr>
          <w:trHeight w:val="445"/>
        </w:trPr>
        <w:tc>
          <w:tcPr>
            <w:tcW w:w="4100" w:type="dxa"/>
            <w:vAlign w:val="bottom"/>
            <w:tcBorders>
              <w:bottom w:val="single" w:sz="8" w:color="auto"/>
            </w:tcBorders>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09"/>
        </w:trPr>
        <w:tc>
          <w:tcPr>
            <w:tcW w:w="4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410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9"/>
              </w:rPr>
              <w:t>CLSN Laboratories, Inc.</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of Imunon, Inc. on Form S-1 (333-221543, 333-219414, 333-217156, 333-214353, 333-234603 and 333-281834), Form S-3 (Nos. 333-174960, 333-183286, 333-198786, 333-193936, 333-205608, 333-206789, 333-227236, 333-240271, 333-249420 and 333-279425) and on Form S-8 (Nos. 33 139784, 333-145680, 333-183288, 333-207864 and 333-281833) of Imunon, Inc. of our report dated February 27, 2025 (which includes an explanatory paragraph relating to Imunon, Inc.’s ability to continue as a going concern), relating to the consolidated financial statements as of and for the years ended December 31, 2024 and 2023, which appear in this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CERTIFICATION OF THE CHIEF EXECUTIVE OFFICER PURSUANT TO SECURITIES EXCHANGE ACT OF 1934 RULES 13a-14(a) AND 15d-14(a) AS ADOPTED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Stacy Lindborg, PhD, certify that:</w:t>
      </w:r>
    </w:p>
    <w:p>
      <w:pPr>
        <w:spacing w:after="0" w:line="22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Imunon,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Stacy R. Lindborg, Ph.D.</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CERTIFICATION OF THE CHIEF FINANCIAL OFFICER PURSUANT TO SECURITIES EXCHANGE ACT OF 1934 RULES 13a-14(a) AND 15d-14(a) AS ADOPTED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Gaiero,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Imunon,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Gaiero</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Gaiero</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Imunon, Inc. (the “Company”) for the year ended December 31, 2024, as filed with the Securities and Exchange Commission on or about February 27, 2025 (the “Report”), I, Stacy Lindborg, PhD, President and Chief Executive Officer of the Company,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Stacy R. Lindborg, Ph.D.</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Imunon, Inc. (the “Company”) for the year ended December 31, 2024, as filed with the Securities and Exchange Commission on or about February 27, 2025 (the “Report”), I, David Gaiero, Chief Financial Officer of the Company,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Gaiero</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Gaiero</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lvl w:ilvl="1">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upperLetter"/>
      <w:start w:val="35"/>
    </w:lvl>
    <w:lvl w:ilvl="1">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lowerLetter"/>
      <w:start w:val="2"/>
    </w:lvl>
  </w:abstractNum>
  <w:abstractNum w:abstractNumId="27">
    <w:nsid w:val="70A64E2A"/>
    <w:multiLevelType w:val="hybridMultilevel"/>
    <w:lvl w:ilvl="0">
      <w:lvlJc w:val="left"/>
      <w:lvlText w:val="(%1)"/>
      <w:numFmt w:val="lowerLetter"/>
      <w:start w:val="3"/>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2"/>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0"/>
    </w:lvl>
  </w:abstractNum>
  <w:abstractNum w:abstractNumId="39">
    <w:nsid w:val="7644A45C"/>
    <w:multiLevelType w:val="hybridMultilevel"/>
    <w:lvl w:ilvl="0">
      <w:lvlJc w:val="left"/>
      <w:lvlText w:val="%1"/>
      <w:numFmt w:val="decimal"/>
      <w:start w:val="97"/>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amp;"/>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5" Type="http://schemas.openxmlformats.org/officeDocument/2006/relationships/image" Target="media/image78.png"/><Relationship Id="rId122"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135" Type="http://schemas.openxmlformats.org/officeDocument/2006/relationships/image" Target="media/image85.png"/><Relationship Id="rId136" Type="http://schemas.openxmlformats.org/officeDocument/2006/relationships/image" Target="media/image86.png"/><Relationship Id="rId137" Type="http://schemas.openxmlformats.org/officeDocument/2006/relationships/image" Target="media/image87.png"/><Relationship Id="rId138" Type="http://schemas.openxmlformats.org/officeDocument/2006/relationships/image" Target="media/image88.png"/><Relationship Id="rId139"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85" Type="http://schemas.openxmlformats.org/officeDocument/2006/relationships/hyperlink" Target="https://www.sec.gov/Archives/edgar/data/749647/000143774914014489/ex2-1.htm" TargetMode="External"/><Relationship Id="rId86" Type="http://schemas.openxmlformats.org/officeDocument/2006/relationships/hyperlink" Target="https://www.sec.gov/Archives/edgar/data/749647/000149315219004381/ex10-1.htm" TargetMode="External"/><Relationship Id="rId87" Type="http://schemas.openxmlformats.org/officeDocument/2006/relationships/hyperlink" Target="https://www.sec.gov/Archives/edgar/data/749647/000149315223008888/ex3-1.htm" TargetMode="External"/><Relationship Id="rId88" Type="http://schemas.openxmlformats.org/officeDocument/2006/relationships/hyperlink" Target="https://www.sec.gov/Archives/edgar/data/749647/000149315224010195/ex3-1.htm" TargetMode="External"/><Relationship Id="rId89" Type="http://schemas.openxmlformats.org/officeDocument/2006/relationships/hyperlink" Target="https://www.sec.gov/Archives/edgar/data/749647/000143774917017965/ex_98287.htm" TargetMode="External"/><Relationship Id="rId90" Type="http://schemas.openxmlformats.org/officeDocument/2006/relationships/hyperlink" Target="https://www.sec.gov/Archives/edgar/data/749647/000143774917012481/ex4-4.htm" TargetMode="External"/><Relationship Id="rId91" Type="http://schemas.openxmlformats.org/officeDocument/2006/relationships/hyperlink" Target="https://www.sec.gov/Archives/edgar/data/749647/000149315220017312/ex4-1.htm" TargetMode="External"/><Relationship Id="rId92" Type="http://schemas.openxmlformats.org/officeDocument/2006/relationships/hyperlink" Target="https://www.sec.gov/Archives/edgar/data/749647/000149315220003910/ex4-1.htm" TargetMode="External"/><Relationship Id="rId93" Type="http://schemas.openxmlformats.org/officeDocument/2006/relationships/hyperlink" Target="https://www.sec.gov/Archives/edgar/data/749647/000149315219007214/ex4-1.htm" TargetMode="External"/><Relationship Id="rId94" Type="http://schemas.openxmlformats.org/officeDocument/2006/relationships/hyperlink" Target="https://www.sec.gov/Archives/edgar/data/749647/000149315224029697/ex4-1.htm" TargetMode="External"/><Relationship Id="rId96" Type="http://schemas.openxmlformats.org/officeDocument/2006/relationships/hyperlink" Target="https://www.sec.gov/Archives/edgar/data/749647/000143774917009400/ex10-1.htm" TargetMode="External"/><Relationship Id="rId97" Type="http://schemas.openxmlformats.org/officeDocument/2006/relationships/hyperlink" Target="https://www.sec.gov/Archives/edgar/data/749647/000143774917019215/ex_99691.htm" TargetMode="External"/><Relationship Id="rId98" Type="http://schemas.openxmlformats.org/officeDocument/2006/relationships/hyperlink" Target="https://www.sec.gov/Archives/edgar/data/749647/000143774918010040/ex_114605.htm" TargetMode="External"/><Relationship Id="rId99" Type="http://schemas.openxmlformats.org/officeDocument/2006/relationships/hyperlink" Target="https://www.sec.gov/Archives/edgar/data/749647/000149315220011263/ex10-1.htm" TargetMode="External"/><Relationship Id="rId100" Type="http://schemas.openxmlformats.org/officeDocument/2006/relationships/hyperlink" Target="https://www.sec.gov/Archives/edgar/data/749647/000149315221014023/ex10-1.htm" TargetMode="External"/><Relationship Id="rId101" Type="http://schemas.openxmlformats.org/officeDocument/2006/relationships/hyperlink" Target="https://www.sec.gov/Archives/edgar/data/749647/000149315224018795/ex10-1.htm" TargetMode="External"/><Relationship Id="rId102" Type="http://schemas.openxmlformats.org/officeDocument/2006/relationships/hyperlink" Target="https://www.sec.gov/Archives/edgar/data/749647/000149315224018795/ex10-2.htm" TargetMode="External"/><Relationship Id="rId103" Type="http://schemas.openxmlformats.org/officeDocument/2006/relationships/hyperlink" Target="https://www.sec.gov/Archives/edgar/data/749647/000149315224034310/ex99-1.htm" TargetMode="External"/><Relationship Id="rId104" Type="http://schemas.openxmlformats.org/officeDocument/2006/relationships/hyperlink" Target="https://www.sec.gov/Archives/edgar/data/749647/000074964710000024/offerletter.htm" TargetMode="External"/><Relationship Id="rId105" Type="http://schemas.openxmlformats.org/officeDocument/2006/relationships/hyperlink" Target="https://www.sec.gov/Archives/edgar/data/749647/000143774915004805/ex10-27.htm" TargetMode="External"/><Relationship Id="rId106" Type="http://schemas.openxmlformats.org/officeDocument/2006/relationships/hyperlink" Target="https://www.sec.gov/Archives/edgar/data/749647/000149315222019765/ex10-2.htm" TargetMode="External"/><Relationship Id="rId107" Type="http://schemas.openxmlformats.org/officeDocument/2006/relationships/hyperlink" Target="https://www.sec.gov/Archives/edgar/data/749647/000149315222019765/ex10-1.htm" TargetMode="External"/><Relationship Id="rId108" Type="http://schemas.openxmlformats.org/officeDocument/2006/relationships/hyperlink" Target="https://www.sec.gov/Archives/edgar/data/749647/000143774916041670/ex10-1.htm" TargetMode="External"/><Relationship Id="rId109" Type="http://schemas.openxmlformats.org/officeDocument/2006/relationships/hyperlink" Target="https://www.sec.gov/Archives/edgar/data/749647/000149315224018166/ex10-1.htm" TargetMode="External"/><Relationship Id="rId110" Type="http://schemas.openxmlformats.org/officeDocument/2006/relationships/hyperlink" Target="https://www.sec.gov/Archives/edgar/data/749647/000149315224020543/ex10-1.htm" TargetMode="External"/><Relationship Id="rId111" Type="http://schemas.openxmlformats.org/officeDocument/2006/relationships/hyperlink" Target="https://www.sec.gov/Archives/edgar/data/749647/000149315224020543/ex10-2.htm" TargetMode="External"/><Relationship Id="rId112" Type="http://schemas.openxmlformats.org/officeDocument/2006/relationships/hyperlink" Target="https://www.sec.gov/Archives/edgar/data/749647/000149315224039646/ex10-1.htm" TargetMode="External"/><Relationship Id="rId113" Type="http://schemas.openxmlformats.org/officeDocument/2006/relationships/hyperlink" Target="https://www.sec.gov/Archives/edgar/data/749647/000149315224043931/ex10-5.htm" TargetMode="External"/><Relationship Id="rId114" Type="http://schemas.openxmlformats.org/officeDocument/2006/relationships/hyperlink" Target="https://www.sec.gov/Archives/edgar/data/749647/000104746909003319/a2191931zex-10_15.htm" TargetMode="External"/><Relationship Id="rId115" Type="http://schemas.openxmlformats.org/officeDocument/2006/relationships/hyperlink" Target="https://www.sec.gov/Archives/edgar/data/749647/000074964711000009/amend2yakult.htm" TargetMode="External"/><Relationship Id="rId116" Type="http://schemas.openxmlformats.org/officeDocument/2006/relationships/hyperlink" Target="https://www.sec.gov/Archives/edgar/data/749647/000143774912008356/ex10-2.htm" TargetMode="External"/><Relationship Id="rId117" Type="http://schemas.openxmlformats.org/officeDocument/2006/relationships/hyperlink" Target="https://www.sec.gov/Archives/edgar/data/749647/000143774913005568/ex10-1.htm" TargetMode="External"/><Relationship Id="rId118" Type="http://schemas.openxmlformats.org/officeDocument/2006/relationships/hyperlink" Target="https://www.sec.gov/Archives/edgar/data/749647/000074964711000106/exhibit99_1.htm" TargetMode="External"/><Relationship Id="rId119" Type="http://schemas.openxmlformats.org/officeDocument/2006/relationships/hyperlink" Target="https://www.sec.gov/Archives/edgar/data/749647/000143774917019215/ex_99690.htm" TargetMode="External"/><Relationship Id="rId120" Type="http://schemas.openxmlformats.org/officeDocument/2006/relationships/hyperlink" Target="https://www.sec.gov/Archives/edgar/data/749647/000149315219007214/ex10-1.htm" TargetMode="External"/><Relationship Id="rId121" Type="http://schemas.openxmlformats.org/officeDocument/2006/relationships/hyperlink" Target="https://www.sec.gov/Archives/edgar/data/749647/000143774918009535/ex_113795.htm" TargetMode="External"/><Relationship Id="rId123" Type="http://schemas.openxmlformats.org/officeDocument/2006/relationships/hyperlink" Target="https://www.sec.gov/Archives/edgar/data/749647/000149315220011263/ex10-2.htm" TargetMode="External"/><Relationship Id="rId124" Type="http://schemas.openxmlformats.org/officeDocument/2006/relationships/hyperlink" Target="https://www.sec.gov/Archives/edgar/data/749647/000149315220003910/ex10-1.htm" TargetMode="External"/><Relationship Id="rId125" Type="http://schemas.openxmlformats.org/officeDocument/2006/relationships/hyperlink" Target="https://www.sec.gov/Archives/edgar/data/749647/000149315222015061/ex10-1.htm" TargetMode="External"/><Relationship Id="rId126" Type="http://schemas.openxmlformats.org/officeDocument/2006/relationships/hyperlink" Target="https://www.sec.gov/Archives/edgar/data/749647/000149315224019876/ex1-3.htm" TargetMode="External"/><Relationship Id="rId127" Type="http://schemas.openxmlformats.org/officeDocument/2006/relationships/hyperlink" Target="https://www.sec.gov/Archives/edgar/data/749647/000149315224029697/ex10-1.htm" TargetMode="External"/><Relationship Id="rId128" Type="http://schemas.openxmlformats.org/officeDocument/2006/relationships/hyperlink" Target="https://www.sec.gov/Archives/edgar/data/749647/000149315223021447/ex10-1.htm" TargetMode="External"/><Relationship Id="rId129" Type="http://schemas.openxmlformats.org/officeDocument/2006/relationships/hyperlink" Target="https://www.sec.gov/Archives/edgar/data/749647/000149315224011616/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2025-02-27T07:22:21Z</dcterms:created>
  <dcterms:modified xsi:type="dcterms:W3CDTF">2025-02-27T07:22:21Z</dcterms:modified>
</cp:coreProperties>
</file>