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333-299647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Imunon,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720" w:type="dxa"/>
        <w:tblCellMar>
          <w:top w:w="0" w:type="dxa"/>
          <w:left w:w="0" w:type="dxa"/>
          <w:bottom w:w="0" w:type="dxa"/>
          <w:right w:w="0" w:type="dxa"/>
        </w:tblCellMar>
      </w:tblPr>
      <w:tr>
        <w:trPr>
          <w:trHeight w:val="220"/>
        </w:trPr>
        <w:tc>
          <w:tcPr>
            <w:tcW w:w="302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2834</w:t>
            </w:r>
          </w:p>
        </w:tc>
        <w:tc>
          <w:tcPr>
            <w:tcW w:w="238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52-1256615</w:t>
            </w:r>
          </w:p>
        </w:tc>
      </w:tr>
      <w:tr>
        <w:trPr>
          <w:trHeight w:val="216"/>
        </w:trPr>
        <w:tc>
          <w:tcPr>
            <w:tcW w:w="302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0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(Primary Standard Industrial</w:t>
            </w:r>
          </w:p>
        </w:tc>
        <w:tc>
          <w:tcPr>
            <w:tcW w:w="23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0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997 Lenox Drive, Suite 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Lawrenceville, NJ 08648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896-9100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Stacy Lindborg</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997 Lenox Drive, Suite 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Lawrenceville, NJ 08648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896-9100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tbl>
      <w:tblPr>
        <w:tblLayout w:type="fixed"/>
        <w:tblInd w:w="140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53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10"/>
        </w:trPr>
        <w:tc>
          <w:tcPr>
            <w:tcW w:w="32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Michael Riella, Esq.</w:t>
            </w:r>
          </w:p>
        </w:tc>
        <w:tc>
          <w:tcPr>
            <w:tcW w:w="538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David Danovitch, Esq.</w:t>
            </w:r>
          </w:p>
        </w:tc>
      </w:tr>
      <w:tr>
        <w:trPr>
          <w:trHeight w:val="216"/>
        </w:trPr>
        <w:tc>
          <w:tcPr>
            <w:tcW w:w="32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Megan Gates, Esq.</w:t>
            </w:r>
          </w:p>
        </w:tc>
        <w:tc>
          <w:tcPr>
            <w:tcW w:w="538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Michael DeDonato, Esq.</w:t>
            </w:r>
          </w:p>
        </w:tc>
      </w:tr>
      <w:tr>
        <w:trPr>
          <w:trHeight w:val="216"/>
        </w:trPr>
        <w:tc>
          <w:tcPr>
            <w:tcW w:w="32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Sarah Griffiths, Esq.</w:t>
            </w:r>
          </w:p>
        </w:tc>
        <w:tc>
          <w:tcPr>
            <w:tcW w:w="538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Sullivan &amp; Worcester LLP</w:t>
            </w:r>
          </w:p>
        </w:tc>
      </w:tr>
      <w:tr>
        <w:trPr>
          <w:trHeight w:val="216"/>
        </w:trPr>
        <w:tc>
          <w:tcPr>
            <w:tcW w:w="32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Covington &amp; Burling LLP</w:t>
            </w:r>
          </w:p>
        </w:tc>
        <w:tc>
          <w:tcPr>
            <w:tcW w:w="538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1251 Avenue of the Americas, 19th Floor</w:t>
            </w:r>
          </w:p>
        </w:tc>
      </w:tr>
      <w:tr>
        <w:trPr>
          <w:trHeight w:val="216"/>
        </w:trPr>
        <w:tc>
          <w:tcPr>
            <w:tcW w:w="32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One International Place, Suite 1020</w:t>
            </w:r>
          </w:p>
        </w:tc>
        <w:tc>
          <w:tcPr>
            <w:tcW w:w="538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New York, NY 10020</w:t>
            </w:r>
          </w:p>
        </w:tc>
      </w:tr>
      <w:tr>
        <w:trPr>
          <w:trHeight w:val="216"/>
        </w:trPr>
        <w:tc>
          <w:tcPr>
            <w:tcW w:w="32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Boston, MA 02110-2600</w:t>
            </w:r>
          </w:p>
        </w:tc>
        <w:tc>
          <w:tcPr>
            <w:tcW w:w="538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(212) 660-3060</w:t>
            </w:r>
          </w:p>
        </w:tc>
      </w:tr>
      <w:tr>
        <w:trPr>
          <w:trHeight w:val="238"/>
        </w:trPr>
        <w:tc>
          <w:tcPr>
            <w:tcW w:w="32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(617) 603-8800</w:t>
            </w:r>
          </w:p>
        </w:tc>
        <w:tc>
          <w:tcPr>
            <w:tcW w:w="5380" w:type="dxa"/>
            <w:vAlign w:val="bottom"/>
          </w:tcPr>
          <w:p>
            <w:pPr>
              <w:spacing w:after="0"/>
              <w:rPr>
                <w:sz w:val="20"/>
                <w:szCs w:val="20"/>
                <w:color w:val="auto"/>
              </w:rPr>
            </w:pPr>
          </w:p>
        </w:tc>
      </w:tr>
    </w:tbl>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the effective date of this registration statement.</w:t>
      </w:r>
    </w:p>
    <w:p>
      <w:pPr>
        <w:spacing w:after="0" w:line="229"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w:t>
      </w:r>
    </w:p>
    <w:p>
      <w:pPr>
        <w:sectPr>
          <w:pgSz w:w="11900" w:h="16838" w:orient="portrait"/>
          <w:cols w:equalWidth="0" w:num="1">
            <w:col w:w="11240"/>
          </w:cols>
          <w:pgMar w:left="320" w:top="441" w:right="339" w:bottom="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455295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Amendment No. 1 to the Registration Statement on Form S-1 of Imunon, Inc. (File No. 333-299647), is being filed solely for the purpose of filing certain exhibits. Accordingly, this Amendment No. 1 consists only of the facing page, this explanatory note, Item 16(a) of Part II of the Registration Statement, the signature page to the Registration Statement and the filed exhibits. The remainder of the Registration Statement is unchanged and has therefore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exhibits set forth below have been or are being filed herewith and are numbered in accordance with Item 601 of Regulation S-K.</w:t>
      </w:r>
    </w:p>
    <w:p>
      <w:pPr>
        <w:spacing w:after="0" w:line="2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ind w:left="380"/>
        <w:spacing w:after="0"/>
        <w:tabs>
          <w:tab w:leader="none" w:pos="10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0000EE"/>
        </w:rPr>
        <w:t>Form of Placement Agency Agreement by and between Imunon, Inc. and Maxim Group LLC, filed herewith.</w:t>
      </w:r>
    </w:p>
    <w:p>
      <w:pPr>
        <w:spacing w:after="0" w:line="225" w:lineRule="exact"/>
        <w:rPr>
          <w:sz w:val="20"/>
          <w:szCs w:val="20"/>
          <w:color w:val="auto"/>
        </w:rPr>
      </w:pPr>
    </w:p>
    <w:p>
      <w:pPr>
        <w:ind w:left="380"/>
        <w:spacing w:after="0"/>
        <w:tabs>
          <w:tab w:leader="none" w:pos="108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u w:val="single" w:color="auto"/>
          <w:color w:val="0000EE"/>
        </w:rPr>
        <w:t>Form of Securities Purchase Agreement, filed herewith.</w:t>
      </w:r>
    </w:p>
    <w:p>
      <w:pPr>
        <w:spacing w:after="0" w:line="225" w:lineRule="exact"/>
        <w:rPr>
          <w:sz w:val="20"/>
          <w:szCs w:val="20"/>
          <w:color w:val="auto"/>
        </w:rPr>
      </w:pPr>
    </w:p>
    <w:p>
      <w:pPr>
        <w:jc w:val="both"/>
        <w:ind w:left="1100" w:right="20" w:hanging="719"/>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15">
        <w:r>
          <w:rPr>
            <w:rFonts w:ascii="Times New Roman" w:cs="Times New Roman" w:eastAsia="Times New Roman" w:hAnsi="Times New Roman"/>
            <w:sz w:val="18"/>
            <w:szCs w:val="18"/>
            <w:u w:val="single" w:color="auto"/>
            <w:color w:val="0000EE"/>
          </w:rPr>
          <w:t>Amended and Restated Certificate of Incorporation of Imunon, dated March 24, 2023, incorporated herein by reference to Exhibit 3.1 to the</w:t>
        </w:r>
      </w:hyperlink>
      <w:r>
        <w:rPr>
          <w:rFonts w:ascii="Times New Roman" w:cs="Times New Roman" w:eastAsia="Times New Roman" w:hAnsi="Times New Roman"/>
          <w:sz w:val="18"/>
          <w:szCs w:val="18"/>
          <w:u w:val="single" w:color="auto"/>
          <w:color w:val="0000EE"/>
        </w:rPr>
        <w:t xml:space="preserve"> </w:t>
      </w:r>
      <w:hyperlink r:id="rId15">
        <w:r>
          <w:rPr>
            <w:rFonts w:ascii="Times New Roman" w:cs="Times New Roman" w:eastAsia="Times New Roman" w:hAnsi="Times New Roman"/>
            <w:sz w:val="18"/>
            <w:szCs w:val="18"/>
            <w:u w:val="single" w:color="auto"/>
            <w:color w:val="0000EE"/>
          </w:rPr>
          <w:t>Current Report on Form 8-K of the Company filed on March 24, 2023.</w:t>
        </w:r>
      </w:hyperlink>
    </w:p>
    <w:p>
      <w:pPr>
        <w:spacing w:after="0" w:line="162" w:lineRule="exact"/>
        <w:rPr>
          <w:sz w:val="20"/>
          <w:szCs w:val="20"/>
          <w:color w:val="auto"/>
        </w:rPr>
      </w:pPr>
    </w:p>
    <w:p>
      <w:pPr>
        <w:jc w:val="both"/>
        <w:ind w:left="1100" w:hanging="719"/>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16">
        <w:r>
          <w:rPr>
            <w:rFonts w:ascii="Times New Roman" w:cs="Times New Roman" w:eastAsia="Times New Roman" w:hAnsi="Times New Roman"/>
            <w:sz w:val="18"/>
            <w:szCs w:val="18"/>
            <w:u w:val="single" w:color="auto"/>
            <w:color w:val="0000EE"/>
          </w:rPr>
          <w:t>Amendment to the Restated Certificate of Incorporation, dated July 11, 2025, incorporated herein by reference to Exhibit 3.1 to the Current</w:t>
        </w:r>
      </w:hyperlink>
      <w:r>
        <w:rPr>
          <w:rFonts w:ascii="Times New Roman" w:cs="Times New Roman" w:eastAsia="Times New Roman" w:hAnsi="Times New Roman"/>
          <w:sz w:val="18"/>
          <w:szCs w:val="18"/>
          <w:u w:val="single" w:color="auto"/>
          <w:color w:val="0000EE"/>
        </w:rPr>
        <w:t xml:space="preserve"> </w:t>
      </w:r>
      <w:hyperlink r:id="rId16">
        <w:r>
          <w:rPr>
            <w:rFonts w:ascii="Times New Roman" w:cs="Times New Roman" w:eastAsia="Times New Roman" w:hAnsi="Times New Roman"/>
            <w:sz w:val="18"/>
            <w:szCs w:val="18"/>
            <w:u w:val="single" w:color="auto"/>
            <w:color w:val="0000EE"/>
          </w:rPr>
          <w:t>Report on Form 8-K of the Company, filed on July 11, 2025.</w:t>
        </w:r>
      </w:hyperlink>
    </w:p>
    <w:p>
      <w:pPr>
        <w:spacing w:after="0" w:line="162" w:lineRule="exact"/>
        <w:rPr>
          <w:sz w:val="20"/>
          <w:szCs w:val="20"/>
          <w:color w:val="auto"/>
        </w:rPr>
      </w:pPr>
    </w:p>
    <w:p>
      <w:pPr>
        <w:jc w:val="both"/>
        <w:ind w:left="1100" w:right="20" w:hanging="719"/>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17">
        <w:r>
          <w:rPr>
            <w:rFonts w:ascii="Times New Roman" w:cs="Times New Roman" w:eastAsia="Times New Roman" w:hAnsi="Times New Roman"/>
            <w:sz w:val="18"/>
            <w:szCs w:val="18"/>
            <w:u w:val="single" w:color="auto"/>
            <w:color w:val="0000EE"/>
          </w:rPr>
          <w:t>Amendment to the Restated Certificate of Incorporation, dated July 21, 2025, incorporated herein by reference to Exhibit 3.1 to the Current</w:t>
        </w:r>
      </w:hyperlink>
      <w:r>
        <w:rPr>
          <w:rFonts w:ascii="Times New Roman" w:cs="Times New Roman" w:eastAsia="Times New Roman" w:hAnsi="Times New Roman"/>
          <w:sz w:val="18"/>
          <w:szCs w:val="18"/>
          <w:u w:val="single" w:color="auto"/>
          <w:color w:val="0000EE"/>
        </w:rPr>
        <w:t xml:space="preserve"> </w:t>
      </w:r>
      <w:hyperlink r:id="rId17">
        <w:r>
          <w:rPr>
            <w:rFonts w:ascii="Times New Roman" w:cs="Times New Roman" w:eastAsia="Times New Roman" w:hAnsi="Times New Roman"/>
            <w:sz w:val="18"/>
            <w:szCs w:val="18"/>
            <w:u w:val="single" w:color="auto"/>
            <w:color w:val="0000EE"/>
          </w:rPr>
          <w:t>Report on Form 8-K of the Company, filed on July 23, 2025.</w:t>
        </w:r>
      </w:hyperlink>
    </w:p>
    <w:p>
      <w:pPr>
        <w:spacing w:after="0" w:line="162" w:lineRule="exact"/>
        <w:rPr>
          <w:sz w:val="20"/>
          <w:szCs w:val="20"/>
          <w:color w:val="auto"/>
        </w:rPr>
      </w:pPr>
    </w:p>
    <w:p>
      <w:pPr>
        <w:jc w:val="both"/>
        <w:ind w:left="1100" w:hanging="719"/>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3.4</w:t>
      </w:r>
      <w:r>
        <w:rPr>
          <w:sz w:val="20"/>
          <w:szCs w:val="20"/>
          <w:color w:val="auto"/>
        </w:rPr>
        <w:tab/>
      </w:r>
      <w:hyperlink r:id="rId18">
        <w:r>
          <w:rPr>
            <w:rFonts w:ascii="Times New Roman" w:cs="Times New Roman" w:eastAsia="Times New Roman" w:hAnsi="Times New Roman"/>
            <w:sz w:val="18"/>
            <w:szCs w:val="18"/>
            <w:u w:val="single" w:color="auto"/>
            <w:color w:val="0000EE"/>
          </w:rPr>
          <w:t>Amended and Restated Bylaws of the Company, effective on March 15, 2024, incorporated herein by reference to Exhibit 3.1 to the Current</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Report on Form 8-K of the Company, filed on March 18, 2024.</w:t>
        </w:r>
      </w:hyperlink>
    </w:p>
    <w:p>
      <w:pPr>
        <w:spacing w:after="0" w:line="162" w:lineRule="exact"/>
        <w:rPr>
          <w:sz w:val="20"/>
          <w:szCs w:val="20"/>
          <w:color w:val="auto"/>
        </w:rPr>
      </w:pPr>
    </w:p>
    <w:p>
      <w:pPr>
        <w:jc w:val="both"/>
        <w:ind w:left="1100" w:right="20" w:hanging="719"/>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3.5</w:t>
      </w:r>
      <w:r>
        <w:rPr>
          <w:sz w:val="20"/>
          <w:szCs w:val="20"/>
          <w:color w:val="auto"/>
        </w:rPr>
        <w:tab/>
      </w:r>
      <w:hyperlink r:id="rId19">
        <w:r>
          <w:rPr>
            <w:rFonts w:ascii="Times New Roman" w:cs="Times New Roman" w:eastAsia="Times New Roman" w:hAnsi="Times New Roman"/>
            <w:sz w:val="18"/>
            <w:szCs w:val="18"/>
            <w:u w:val="single" w:color="auto"/>
            <w:color w:val="0000EE"/>
          </w:rPr>
          <w:t>Certificate of Designation of Preferences and Rights of Series A Preferred Stock, incorporated by reference to Exhibit 3.1 to the Current</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Report on Form 8-K of the Company filed on June 4, 2026.</w:t>
        </w:r>
      </w:hyperlink>
    </w:p>
    <w:p>
      <w:pPr>
        <w:spacing w:after="0" w:line="162" w:lineRule="exact"/>
        <w:rPr>
          <w:sz w:val="20"/>
          <w:szCs w:val="20"/>
          <w:color w:val="auto"/>
        </w:rPr>
      </w:pPr>
    </w:p>
    <w:p>
      <w:pPr>
        <w:jc w:val="both"/>
        <w:ind w:left="1100" w:hanging="719"/>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3.6</w:t>
      </w:r>
      <w:r>
        <w:rPr>
          <w:sz w:val="20"/>
          <w:szCs w:val="20"/>
          <w:color w:val="auto"/>
        </w:rPr>
        <w:tab/>
      </w:r>
      <w:hyperlink r:id="rId20">
        <w:r>
          <w:rPr>
            <w:rFonts w:ascii="Times New Roman" w:cs="Times New Roman" w:eastAsia="Times New Roman" w:hAnsi="Times New Roman"/>
            <w:sz w:val="18"/>
            <w:szCs w:val="18"/>
            <w:u w:val="single" w:color="auto"/>
            <w:color w:val="0000EE"/>
          </w:rPr>
          <w:t>Certificate of Designation of Preferences and Rights of Series B Preferred Stock, incorporated by reference to Exhibit 3.1 to the Current</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Report on Form 8-K of the Company filed on September 29, 2026.</w:t>
        </w:r>
      </w:hyperlink>
    </w:p>
    <w:p>
      <w:pPr>
        <w:spacing w:after="0" w:line="162" w:lineRule="exact"/>
        <w:rPr>
          <w:sz w:val="20"/>
          <w:szCs w:val="20"/>
          <w:color w:val="auto"/>
        </w:rPr>
      </w:pPr>
    </w:p>
    <w:p>
      <w:pPr>
        <w:jc w:val="both"/>
        <w:ind w:left="1100" w:hanging="719"/>
        <w:spacing w:after="0" w:line="261"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21">
        <w:r>
          <w:rPr>
            <w:rFonts w:ascii="Times New Roman" w:cs="Times New Roman" w:eastAsia="Times New Roman" w:hAnsi="Times New Roman"/>
            <w:sz w:val="18"/>
            <w:szCs w:val="18"/>
            <w:u w:val="single" w:color="auto"/>
            <w:color w:val="0000EE"/>
          </w:rPr>
          <w:t>Form of Amended and Restated Warrant (issued under First Amendment of Venture Loan and Security Agreement, dated as of August 1,</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2020, by and among Imunon, Inc., Horizon Funding I, LLC, Horizon Funding Trust 2019-1, and Horizon Technology Finance Corporation,</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as Collateral Agent), incorporated herein by reference to Exhibit 4.1 to the Current Report on Form 8-K of the Company, filed on September</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4, 2020.</w:t>
        </w:r>
      </w:hyperlink>
    </w:p>
    <w:p>
      <w:pPr>
        <w:spacing w:after="0" w:line="180" w:lineRule="exact"/>
        <w:rPr>
          <w:rFonts w:ascii="Times New Roman" w:cs="Times New Roman" w:eastAsia="Times New Roman" w:hAnsi="Times New Roman"/>
          <w:sz w:val="18"/>
          <w:szCs w:val="18"/>
          <w:u w:val="single" w:color="auto"/>
          <w:color w:val="0000EE"/>
        </w:rPr>
      </w:pPr>
    </w:p>
    <w:p>
      <w:pPr>
        <w:ind w:left="380"/>
        <w:spacing w:after="0"/>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22">
        <w:r>
          <w:rPr>
            <w:rFonts w:ascii="Times New Roman" w:cs="Times New Roman" w:eastAsia="Times New Roman" w:hAnsi="Times New Roman"/>
            <w:sz w:val="17"/>
            <w:szCs w:val="17"/>
            <w:u w:val="single" w:color="auto"/>
            <w:color w:val="0000EE"/>
          </w:rPr>
          <w:t>Form of Warrant, incorporated herein by reference to Exhibit 4.1 to the Current Report on Form 8-K of the Company filed on July 31, 2024.</w:t>
        </w:r>
      </w:hyperlink>
    </w:p>
    <w:p>
      <w:pPr>
        <w:spacing w:after="0" w:line="225" w:lineRule="exact"/>
        <w:rPr>
          <w:rFonts w:ascii="Times New Roman" w:cs="Times New Roman" w:eastAsia="Times New Roman" w:hAnsi="Times New Roman"/>
          <w:sz w:val="18"/>
          <w:szCs w:val="18"/>
          <w:u w:val="single" w:color="auto"/>
          <w:color w:val="0000EE"/>
        </w:rPr>
      </w:pPr>
    </w:p>
    <w:p>
      <w:pPr>
        <w:jc w:val="both"/>
        <w:ind w:left="1100" w:hanging="719"/>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23">
        <w:r>
          <w:rPr>
            <w:rFonts w:ascii="Times New Roman" w:cs="Times New Roman" w:eastAsia="Times New Roman" w:hAnsi="Times New Roman"/>
            <w:sz w:val="18"/>
            <w:szCs w:val="18"/>
            <w:u w:val="single" w:color="auto"/>
            <w:color w:val="0000EE"/>
          </w:rPr>
          <w:t>Form of Pre-Funded Warrant, incorporated herein by reference to Exhibit 4.1 to the Current Report on Form 8-K of the Company filed on</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May 27, 2025.</w:t>
        </w:r>
      </w:hyperlink>
    </w:p>
    <w:p>
      <w:pPr>
        <w:spacing w:after="0" w:line="162" w:lineRule="exact"/>
        <w:rPr>
          <w:sz w:val="20"/>
          <w:szCs w:val="20"/>
          <w:color w:val="auto"/>
        </w:rPr>
      </w:pPr>
    </w:p>
    <w:p>
      <w:pPr>
        <w:ind w:left="380"/>
        <w:spacing w:after="0"/>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24">
        <w:r>
          <w:rPr>
            <w:rFonts w:ascii="Times New Roman" w:cs="Times New Roman" w:eastAsia="Times New Roman" w:hAnsi="Times New Roman"/>
            <w:sz w:val="17"/>
            <w:szCs w:val="17"/>
            <w:u w:val="single" w:color="auto"/>
            <w:color w:val="0000EE"/>
          </w:rPr>
          <w:t>Form of Warrant, incorporated herein by reference to Exhibit 4.2 to the Current Report on Form 8-K of the Company filed on May 27, 2025.</w:t>
        </w:r>
      </w:hyperlink>
    </w:p>
    <w:p>
      <w:pPr>
        <w:spacing w:after="0" w:line="225" w:lineRule="exact"/>
        <w:rPr>
          <w:sz w:val="20"/>
          <w:szCs w:val="20"/>
          <w:color w:val="auto"/>
        </w:rPr>
      </w:pPr>
    </w:p>
    <w:p>
      <w:pPr>
        <w:jc w:val="both"/>
        <w:ind w:left="1100" w:hanging="719"/>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25">
        <w:r>
          <w:rPr>
            <w:rFonts w:ascii="Times New Roman" w:cs="Times New Roman" w:eastAsia="Times New Roman" w:hAnsi="Times New Roman"/>
            <w:sz w:val="18"/>
            <w:szCs w:val="18"/>
            <w:u w:val="single" w:color="auto"/>
            <w:color w:val="0000EE"/>
          </w:rPr>
          <w:t>Form of Placement Agent Warrant, incorporated herein by reference to Exhibit 4.3 to the Current Report on Form 8-K of the Company filed</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on May 27, 2025.</w:t>
        </w:r>
      </w:hyperlink>
    </w:p>
    <w:p>
      <w:pPr>
        <w:spacing w:after="0" w:line="162" w:lineRule="exact"/>
        <w:rPr>
          <w:sz w:val="20"/>
          <w:szCs w:val="20"/>
          <w:color w:val="auto"/>
        </w:rPr>
      </w:pPr>
    </w:p>
    <w:p>
      <w:pPr>
        <w:jc w:val="both"/>
        <w:ind w:left="1100" w:hanging="719"/>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26">
        <w:r>
          <w:rPr>
            <w:rFonts w:ascii="Times New Roman" w:cs="Times New Roman" w:eastAsia="Times New Roman" w:hAnsi="Times New Roman"/>
            <w:sz w:val="18"/>
            <w:szCs w:val="18"/>
            <w:u w:val="single" w:color="auto"/>
            <w:color w:val="0000EE"/>
          </w:rPr>
          <w:t>Form of Pre-Funded Warrant, incorporated herein by reference to Exhibit 4.1 to the Current Report on Form 8-K of the Company filed on</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December 31,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4.7</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Form of Warrant, incorporated herein by reference to Exhibit 4.2 to the Current Report on Form 8-K of the Company filed on December 31,</w:t>
              </w:r>
            </w:hyperlink>
          </w:p>
        </w:tc>
      </w:tr>
      <w:tr>
        <w:trPr>
          <w:trHeight w:val="196"/>
        </w:trPr>
        <w:tc>
          <w:tcPr>
            <w:tcW w:w="1100" w:type="dxa"/>
            <w:vAlign w:val="bottom"/>
          </w:tcPr>
          <w:p>
            <w:pPr>
              <w:spacing w:after="0"/>
              <w:rPr>
                <w:sz w:val="17"/>
                <w:szCs w:val="17"/>
                <w:color w:val="auto"/>
              </w:rPr>
            </w:pPr>
          </w:p>
        </w:tc>
        <w:tc>
          <w:tcPr>
            <w:tcW w:w="2180" w:type="dxa"/>
            <w:vAlign w:val="bottom"/>
            <w:gridSpan w:val="2"/>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2025.</w:t>
              </w:r>
            </w:hyperlink>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4.8</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Form of Common Warrant (Tranche A, Tranche B, Tranche C, Tranche D), filed herewith.</w:t>
            </w: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4.9</w:t>
            </w:r>
          </w:p>
        </w:tc>
        <w:tc>
          <w:tcPr>
            <w:tcW w:w="650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Form of Pre-funded Warrant, filed herewith.</w:t>
            </w:r>
          </w:p>
        </w:tc>
        <w:tc>
          <w:tcPr>
            <w:tcW w:w="3640" w:type="dxa"/>
            <w:vAlign w:val="bottom"/>
            <w:gridSpan w:val="6"/>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4.10</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Form of Placement Agent Warrant, filed herewith.</w:t>
            </w: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5.1+</w:t>
            </w:r>
          </w:p>
        </w:tc>
        <w:tc>
          <w:tcPr>
            <w:tcW w:w="362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Opinion of Covington &amp; Burling LLP.</w:t>
              </w:r>
            </w:hyperlink>
          </w:p>
        </w:tc>
        <w:tc>
          <w:tcPr>
            <w:tcW w:w="6520" w:type="dxa"/>
            <w:vAlign w:val="bottom"/>
            <w:gridSpan w:val="12"/>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Imunon, Inc. 2007 Stock Incentive Plan, as amended, incorporated herein by reference to Exhibit 10.1 to the Current Report on Form 8-K of</w:t>
              </w:r>
            </w:hyperlink>
          </w:p>
        </w:tc>
      </w:tr>
      <w:tr>
        <w:trPr>
          <w:trHeight w:val="196"/>
        </w:trPr>
        <w:tc>
          <w:tcPr>
            <w:tcW w:w="1100" w:type="dxa"/>
            <w:vAlign w:val="bottom"/>
          </w:tcPr>
          <w:p>
            <w:pPr>
              <w:spacing w:after="0"/>
              <w:rPr>
                <w:sz w:val="17"/>
                <w:szCs w:val="17"/>
                <w:color w:val="auto"/>
              </w:rPr>
            </w:pPr>
          </w:p>
        </w:tc>
        <w:tc>
          <w:tcPr>
            <w:tcW w:w="27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the Company, filed on May 16, 2017.</w:t>
              </w:r>
            </w:hyperlink>
          </w:p>
        </w:tc>
        <w:tc>
          <w:tcPr>
            <w:tcW w:w="7380" w:type="dxa"/>
            <w:vAlign w:val="bottom"/>
            <w:gridSpan w:val="14"/>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10.2**</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Form Inducement Offer to Exercise Common Stock Purchase Warrants, incorporated herein by reference to Exhibit 10.3 to the Quarterly</w:t>
              </w:r>
            </w:hyperlink>
          </w:p>
        </w:tc>
      </w:tr>
      <w:tr>
        <w:trPr>
          <w:trHeight w:val="196"/>
        </w:trPr>
        <w:tc>
          <w:tcPr>
            <w:tcW w:w="1100" w:type="dxa"/>
            <w:vAlign w:val="bottom"/>
          </w:tcPr>
          <w:p>
            <w:pPr>
              <w:spacing w:after="0"/>
              <w:rPr>
                <w:sz w:val="17"/>
                <w:szCs w:val="17"/>
                <w:color w:val="auto"/>
              </w:rPr>
            </w:pPr>
          </w:p>
        </w:tc>
        <w:tc>
          <w:tcPr>
            <w:tcW w:w="58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Report on Form 10-Q of the Company for the quarter ended September 30, 2017.</w:t>
              </w:r>
            </w:hyperlink>
          </w:p>
        </w:tc>
        <w:tc>
          <w:tcPr>
            <w:tcW w:w="4280" w:type="dxa"/>
            <w:vAlign w:val="bottom"/>
            <w:gridSpan w:val="7"/>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10.3**</w:t>
            </w:r>
          </w:p>
        </w:tc>
        <w:tc>
          <w:tcPr>
            <w:tcW w:w="10140" w:type="dxa"/>
            <w:vAlign w:val="bottom"/>
            <w:gridSpan w:val="17"/>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Imunon, Inc. 2018 Stock Incentive Plan, incorporated herein by reference to Exhibit 10.1 to the Current Report on Form 8-K of the</w:t>
              </w:r>
            </w:hyperlink>
          </w:p>
        </w:tc>
      </w:tr>
      <w:tr>
        <w:trPr>
          <w:trHeight w:val="196"/>
        </w:trPr>
        <w:tc>
          <w:tcPr>
            <w:tcW w:w="110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Company filed May 15, 2018.</w:t>
              </w:r>
            </w:hyperlink>
          </w:p>
        </w:tc>
        <w:tc>
          <w:tcPr>
            <w:tcW w:w="794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10.4**</w:t>
            </w:r>
          </w:p>
        </w:tc>
        <w:tc>
          <w:tcPr>
            <w:tcW w:w="10140" w:type="dxa"/>
            <w:vAlign w:val="bottom"/>
            <w:gridSpan w:val="17"/>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First Amendment to the Imunon, Inc. 2018 Stock Incentive Plan, incorporated herein by reference to Exhibit 10.1 to the Current Report on</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Form 8-K of the Company, filed on May 15, 2019.</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364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10.5**</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Second Amendment to the Imunon, Inc. 2018 Stock Incentive Plan, incorporated herein by reference to Exhibit 10.1 to the Current Report</w:t>
              </w:r>
            </w:hyperlink>
          </w:p>
        </w:tc>
      </w:tr>
      <w:tr>
        <w:trPr>
          <w:trHeight w:val="196"/>
        </w:trPr>
        <w:tc>
          <w:tcPr>
            <w:tcW w:w="1100" w:type="dxa"/>
            <w:vAlign w:val="bottom"/>
          </w:tcPr>
          <w:p>
            <w:pPr>
              <w:spacing w:after="0"/>
              <w:rPr>
                <w:sz w:val="17"/>
                <w:szCs w:val="17"/>
                <w:color w:val="auto"/>
              </w:rPr>
            </w:pPr>
          </w:p>
        </w:tc>
        <w:tc>
          <w:tcPr>
            <w:tcW w:w="38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on Form 8-K of the Company, filed on June 16, 2020.</w:t>
              </w:r>
            </w:hyperlink>
          </w:p>
        </w:tc>
        <w:tc>
          <w:tcPr>
            <w:tcW w:w="6260" w:type="dxa"/>
            <w:vAlign w:val="bottom"/>
            <w:gridSpan w:val="10"/>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10.6**</w:t>
            </w:r>
          </w:p>
        </w:tc>
        <w:tc>
          <w:tcPr>
            <w:tcW w:w="10140" w:type="dxa"/>
            <w:vAlign w:val="bottom"/>
            <w:gridSpan w:val="17"/>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Third Amendment to the Celsion Corporation 2018 Stock Incentive Plan, incorporated herein by reference to Exhibit 10.1 to the Current</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Report on Form 8-K of the Company, filed on June 10, 2021.</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400" w:type="dxa"/>
            <w:vAlign w:val="bottom"/>
            <w:tcBorders>
              <w:right w:val="single" w:sz="8" w:color="0000EE"/>
            </w:tcBorders>
            <w:gridSpan w:val="8"/>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10.7**</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Imunon, Inc. 2018 Stock Incentive Plan, as amended as of June 14, 2023, incorporated herein by reference to Exhibit 10.1 to the Current</w:t>
              </w:r>
            </w:hyperlink>
          </w:p>
        </w:tc>
      </w:tr>
      <w:tr>
        <w:trPr>
          <w:trHeight w:val="196"/>
        </w:trPr>
        <w:tc>
          <w:tcPr>
            <w:tcW w:w="1100" w:type="dxa"/>
            <w:vAlign w:val="bottom"/>
          </w:tcPr>
          <w:p>
            <w:pPr>
              <w:spacing w:after="0"/>
              <w:rPr>
                <w:sz w:val="17"/>
                <w:szCs w:val="17"/>
                <w:color w:val="auto"/>
              </w:rPr>
            </w:pPr>
          </w:p>
        </w:tc>
        <w:tc>
          <w:tcPr>
            <w:tcW w:w="10140" w:type="dxa"/>
            <w:vAlign w:val="bottom"/>
            <w:gridSpan w:val="17"/>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Report on Form 8-K of the Company, filed on June 15, 2023.</w:t>
              </w:r>
            </w:hyperlink>
          </w:p>
        </w:tc>
      </w:tr>
      <w:tr>
        <w:trPr>
          <w:trHeight w:val="20"/>
        </w:trPr>
        <w:tc>
          <w:tcPr>
            <w:tcW w:w="1100" w:type="dxa"/>
            <w:vAlign w:val="bottom"/>
          </w:tcPr>
          <w:p>
            <w:pPr>
              <w:spacing w:after="0" w:line="20" w:lineRule="exact"/>
              <w:rPr>
                <w:sz w:val="1"/>
                <w:szCs w:val="1"/>
                <w:color w:val="auto"/>
              </w:rPr>
            </w:pPr>
          </w:p>
        </w:tc>
        <w:tc>
          <w:tcPr>
            <w:tcW w:w="4400" w:type="dxa"/>
            <w:vAlign w:val="bottom"/>
            <w:tcBorders>
              <w:right w:val="single" w:sz="8" w:color="0000EE"/>
            </w:tcBorders>
            <w:gridSpan w:val="8"/>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10.8**</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Imunon, Inc. 2018 Stock Incentive Plan, as amended as of July 11, 2025, incorporated herein by reference to Exhibit 10.1 to the Current</w:t>
              </w:r>
            </w:hyperlink>
          </w:p>
        </w:tc>
      </w:tr>
      <w:tr>
        <w:trPr>
          <w:trHeight w:val="196"/>
        </w:trPr>
        <w:tc>
          <w:tcPr>
            <w:tcW w:w="1100" w:type="dxa"/>
            <w:vAlign w:val="bottom"/>
          </w:tcPr>
          <w:p>
            <w:pPr>
              <w:spacing w:after="0"/>
              <w:rPr>
                <w:sz w:val="17"/>
                <w:szCs w:val="17"/>
                <w:color w:val="auto"/>
              </w:rPr>
            </w:pPr>
          </w:p>
        </w:tc>
        <w:tc>
          <w:tcPr>
            <w:tcW w:w="44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Report on Form 8-K of the Company, filed on July 14, 2025.</w:t>
              </w:r>
            </w:hyperlink>
          </w:p>
        </w:tc>
        <w:tc>
          <w:tcPr>
            <w:tcW w:w="5740" w:type="dxa"/>
            <w:vAlign w:val="bottom"/>
            <w:gridSpan w:val="9"/>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10.9**</w:t>
            </w:r>
          </w:p>
        </w:tc>
        <w:tc>
          <w:tcPr>
            <w:tcW w:w="10140" w:type="dxa"/>
            <w:vAlign w:val="bottom"/>
            <w:gridSpan w:val="17"/>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Form of Incentive Stock Option Grant Agreement under the 2018 Stock Incentive Plan, incorporated herein by reference to Exhibit 10.1 to</w:t>
              </w:r>
            </w:hyperlink>
          </w:p>
        </w:tc>
      </w:tr>
      <w:tr>
        <w:trPr>
          <w:trHeight w:val="196"/>
        </w:trPr>
        <w:tc>
          <w:tcPr>
            <w:tcW w:w="1100" w:type="dxa"/>
            <w:vAlign w:val="bottom"/>
          </w:tcPr>
          <w:p>
            <w:pPr>
              <w:spacing w:after="0"/>
              <w:rPr>
                <w:sz w:val="17"/>
                <w:szCs w:val="17"/>
                <w:color w:val="auto"/>
              </w:rPr>
            </w:pPr>
          </w:p>
        </w:tc>
        <w:tc>
          <w:tcPr>
            <w:tcW w:w="65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the Quarterly Report on Form 10-Q of the Company for the quarter ended March 31, 2024.</w:t>
              </w:r>
            </w:hyperlink>
          </w:p>
        </w:tc>
        <w:tc>
          <w:tcPr>
            <w:tcW w:w="356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10.10**</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Form of Restricted Stock Agreement under the 2018 Stock Incentive Plan, incorporated herein by reference to Exhibit 10.2 to the Quarterly</w:t>
              </w:r>
            </w:hyperlink>
          </w:p>
        </w:tc>
      </w:tr>
      <w:tr>
        <w:trPr>
          <w:trHeight w:val="196"/>
        </w:trPr>
        <w:tc>
          <w:tcPr>
            <w:tcW w:w="1100" w:type="dxa"/>
            <w:vAlign w:val="bottom"/>
          </w:tcPr>
          <w:p>
            <w:pPr>
              <w:spacing w:after="0"/>
              <w:rPr>
                <w:sz w:val="17"/>
                <w:szCs w:val="17"/>
                <w:color w:val="auto"/>
              </w:rPr>
            </w:pPr>
          </w:p>
        </w:tc>
        <w:tc>
          <w:tcPr>
            <w:tcW w:w="55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Report on Form 10-Q of the Company for the quarter ended March 31, 2024.</w:t>
              </w:r>
            </w:hyperlink>
          </w:p>
        </w:tc>
        <w:tc>
          <w:tcPr>
            <w:tcW w:w="4580" w:type="dxa"/>
            <w:vAlign w:val="bottom"/>
            <w:gridSpan w:val="8"/>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10.11**</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Form of Nonqualified Stock Option and Restricted Stock Grant Agreement for employment inducement awards, incorporated herein by</w:t>
              </w:r>
            </w:hyperlink>
          </w:p>
        </w:tc>
      </w:tr>
      <w:tr>
        <w:trPr>
          <w:trHeight w:val="196"/>
        </w:trPr>
        <w:tc>
          <w:tcPr>
            <w:tcW w:w="1100" w:type="dxa"/>
            <w:vAlign w:val="bottom"/>
          </w:tcPr>
          <w:p>
            <w:pPr>
              <w:spacing w:after="0"/>
              <w:rPr>
                <w:sz w:val="17"/>
                <w:szCs w:val="17"/>
                <w:color w:val="auto"/>
              </w:rPr>
            </w:pPr>
          </w:p>
        </w:tc>
        <w:tc>
          <w:tcPr>
            <w:tcW w:w="76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reference to Exhibit 99.1 to the Company’s Registration Statement on Form S-8 filed on August 29, 2024.</w:t>
              </w:r>
            </w:hyperlink>
          </w:p>
        </w:tc>
        <w:tc>
          <w:tcPr>
            <w:tcW w:w="2500" w:type="dxa"/>
            <w:vAlign w:val="bottom"/>
            <w:gridSpan w:val="3"/>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10.12**</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Retirement and Consulting Agreement, dated February 4, 2026, between the Company and Khursheed Anwer, incorporated herein by</w:t>
              </w:r>
            </w:hyperlink>
          </w:p>
        </w:tc>
      </w:tr>
      <w:tr>
        <w:trPr>
          <w:trHeight w:val="196"/>
        </w:trPr>
        <w:tc>
          <w:tcPr>
            <w:tcW w:w="1100" w:type="dxa"/>
            <w:vAlign w:val="bottom"/>
          </w:tcPr>
          <w:p>
            <w:pPr>
              <w:spacing w:after="0"/>
              <w:rPr>
                <w:sz w:val="17"/>
                <w:szCs w:val="17"/>
                <w:color w:val="auto"/>
              </w:rPr>
            </w:pPr>
          </w:p>
        </w:tc>
        <w:tc>
          <w:tcPr>
            <w:tcW w:w="10140" w:type="dxa"/>
            <w:vAlign w:val="bottom"/>
            <w:gridSpan w:val="17"/>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reference to Exhibit 10.1 to the Current Report on Form 8-K of the Company filed on February 5, 2026.</w:t>
              </w:r>
            </w:hyperlink>
          </w:p>
        </w:tc>
      </w:tr>
      <w:tr>
        <w:trPr>
          <w:trHeight w:val="20"/>
        </w:trPr>
        <w:tc>
          <w:tcPr>
            <w:tcW w:w="1100" w:type="dxa"/>
            <w:vAlign w:val="bottom"/>
          </w:tcPr>
          <w:p>
            <w:pPr>
              <w:spacing w:after="0" w:line="20" w:lineRule="exact"/>
              <w:rPr>
                <w:sz w:val="1"/>
                <w:szCs w:val="1"/>
                <w:color w:val="auto"/>
              </w:rPr>
            </w:pPr>
          </w:p>
        </w:tc>
        <w:tc>
          <w:tcPr>
            <w:tcW w:w="7480" w:type="dxa"/>
            <w:vAlign w:val="bottom"/>
            <w:gridSpan w:val="1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10.13**</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Employment Agreement between the Company and Michael H. Tardugno, effective as of July 18, 2022, incorporated herein by reference to</w:t>
              </w:r>
            </w:hyperlink>
          </w:p>
        </w:tc>
      </w:tr>
      <w:tr>
        <w:trPr>
          <w:trHeight w:val="196"/>
        </w:trPr>
        <w:tc>
          <w:tcPr>
            <w:tcW w:w="1100" w:type="dxa"/>
            <w:vAlign w:val="bottom"/>
          </w:tcPr>
          <w:p>
            <w:pPr>
              <w:spacing w:after="0"/>
              <w:rPr>
                <w:sz w:val="17"/>
                <w:szCs w:val="17"/>
                <w:color w:val="auto"/>
              </w:rPr>
            </w:pPr>
          </w:p>
        </w:tc>
        <w:tc>
          <w:tcPr>
            <w:tcW w:w="10140" w:type="dxa"/>
            <w:vAlign w:val="bottom"/>
            <w:gridSpan w:val="17"/>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Exhibit 10.2 to the Current Report on Form 8-K of the Company filed with the Commission on July 19, 2022.</w:t>
              </w:r>
            </w:hyperlink>
          </w:p>
        </w:tc>
      </w:tr>
      <w:tr>
        <w:trPr>
          <w:trHeight w:val="453"/>
        </w:trPr>
        <w:tc>
          <w:tcPr>
            <w:tcW w:w="1100" w:type="dxa"/>
            <w:vAlign w:val="bottom"/>
            <w:tcBorders>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178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11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5" w:name="page6"/>
    <w:bookmarkEnd w:id="5"/>
    <w:p>
      <w:pPr>
        <w:jc w:val="both"/>
        <w:ind w:left="900" w:hanging="899"/>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43">
        <w:r>
          <w:rPr>
            <w:rFonts w:ascii="Times New Roman" w:cs="Times New Roman" w:eastAsia="Times New Roman" w:hAnsi="Times New Roman"/>
            <w:sz w:val="18"/>
            <w:szCs w:val="18"/>
            <w:u w:val="single" w:color="auto"/>
            <w:color w:val="0000EE"/>
          </w:rPr>
          <w:t>Amended and Restated Change in Control Agreement dated as of September 6, 2016, by and between the Company and Michael H.</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Tardugno, incorporated herein by reference to Exhibit 10.1 to the Quarterly Report on Form 10-Q of the Company for the quarter ended</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September 30, 2016.</w:t>
        </w:r>
      </w:hyperlink>
    </w:p>
    <w:p>
      <w:pPr>
        <w:spacing w:after="0" w:line="176" w:lineRule="exact"/>
        <w:rPr>
          <w:rFonts w:ascii="Times New Roman" w:cs="Times New Roman" w:eastAsia="Times New Roman" w:hAnsi="Times New Roman"/>
          <w:sz w:val="18"/>
          <w:szCs w:val="18"/>
          <w:u w:val="single" w:color="auto"/>
          <w:color w:val="0000EE"/>
        </w:rPr>
      </w:pPr>
    </w:p>
    <w:p>
      <w:pPr>
        <w:spacing w:after="0"/>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44">
        <w:r>
          <w:rPr>
            <w:rFonts w:ascii="Times New Roman" w:cs="Times New Roman" w:eastAsia="Times New Roman" w:hAnsi="Times New Roman"/>
            <w:sz w:val="18"/>
            <w:szCs w:val="18"/>
            <w:u w:val="single" w:color="auto"/>
            <w:color w:val="0000EE"/>
          </w:rPr>
          <w:t>Employment Agreement, dated as of May 3, 2024, between the Company and Stacy Lindborg, Ph.D., incorporated by reference to Exhibit</w:t>
        </w:r>
      </w:hyperlink>
    </w:p>
    <w:p>
      <w:pPr>
        <w:spacing w:after="0" w:line="27" w:lineRule="exact"/>
        <w:rPr>
          <w:rFonts w:ascii="Times New Roman" w:cs="Times New Roman" w:eastAsia="Times New Roman" w:hAnsi="Times New Roman"/>
          <w:sz w:val="18"/>
          <w:szCs w:val="18"/>
          <w:u w:val="single" w:color="auto"/>
          <w:color w:val="0000EE"/>
        </w:rPr>
      </w:pPr>
    </w:p>
    <w:p>
      <w:pPr>
        <w:ind w:left="900"/>
        <w:spacing w:after="0"/>
        <w:rPr>
          <w:rFonts w:ascii="Times New Roman" w:cs="Times New Roman" w:eastAsia="Times New Roman" w:hAnsi="Times New Roman"/>
          <w:sz w:val="18"/>
          <w:szCs w:val="18"/>
          <w:u w:val="single" w:color="auto"/>
          <w:color w:val="0000EE"/>
        </w:rPr>
      </w:pPr>
      <w:hyperlink r:id="rId44">
        <w:r>
          <w:rPr>
            <w:rFonts w:ascii="Times New Roman" w:cs="Times New Roman" w:eastAsia="Times New Roman" w:hAnsi="Times New Roman"/>
            <w:sz w:val="18"/>
            <w:szCs w:val="18"/>
            <w:u w:val="single" w:color="auto"/>
            <w:color w:val="0000EE"/>
          </w:rPr>
          <w:t>10.1 to the Current Report on Form 8-K of the Company filed on May 8, 2024.</w:t>
        </w:r>
      </w:hyperlink>
    </w:p>
    <w:p>
      <w:pPr>
        <w:spacing w:after="0" w:line="207" w:lineRule="exact"/>
        <w:rPr>
          <w:rFonts w:ascii="Times New Roman" w:cs="Times New Roman" w:eastAsia="Times New Roman" w:hAnsi="Times New Roman"/>
          <w:sz w:val="18"/>
          <w:szCs w:val="18"/>
          <w:u w:val="single" w:color="auto"/>
          <w:color w:val="0000EE"/>
        </w:rPr>
      </w:pPr>
    </w:p>
    <w:p>
      <w:pPr>
        <w:spacing w:after="0"/>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45">
        <w:r>
          <w:rPr>
            <w:rFonts w:ascii="Times New Roman" w:cs="Times New Roman" w:eastAsia="Times New Roman" w:hAnsi="Times New Roman"/>
            <w:sz w:val="18"/>
            <w:szCs w:val="18"/>
            <w:u w:val="single" w:color="auto"/>
            <w:color w:val="0000EE"/>
          </w:rPr>
          <w:t>Retirement and Consulting Agreement, dated May 17, 2024, between the Company and Jeffrey Church, incorporated by reference to Exhibit</w:t>
        </w:r>
      </w:hyperlink>
    </w:p>
    <w:p>
      <w:pPr>
        <w:spacing w:after="0" w:line="27" w:lineRule="exact"/>
        <w:rPr>
          <w:rFonts w:ascii="Times New Roman" w:cs="Times New Roman" w:eastAsia="Times New Roman" w:hAnsi="Times New Roman"/>
          <w:sz w:val="18"/>
          <w:szCs w:val="18"/>
          <w:u w:val="single" w:color="auto"/>
          <w:color w:val="0000EE"/>
        </w:rPr>
      </w:pPr>
    </w:p>
    <w:p>
      <w:pPr>
        <w:ind w:left="900"/>
        <w:spacing w:after="0"/>
        <w:rPr>
          <w:rFonts w:ascii="Times New Roman" w:cs="Times New Roman" w:eastAsia="Times New Roman" w:hAnsi="Times New Roman"/>
          <w:sz w:val="18"/>
          <w:szCs w:val="18"/>
          <w:u w:val="single" w:color="auto"/>
          <w:color w:val="0000EE"/>
        </w:rPr>
      </w:pPr>
      <w:hyperlink r:id="rId45">
        <w:r>
          <w:rPr>
            <w:rFonts w:ascii="Times New Roman" w:cs="Times New Roman" w:eastAsia="Times New Roman" w:hAnsi="Times New Roman"/>
            <w:sz w:val="18"/>
            <w:szCs w:val="18"/>
            <w:u w:val="single" w:color="auto"/>
            <w:color w:val="0000EE"/>
          </w:rPr>
          <w:t>10.1 to the Current Report on Form 8-K of the Company filed on May 20, 2024.</w:t>
        </w:r>
      </w:hyperlink>
    </w:p>
    <w:p>
      <w:pPr>
        <w:spacing w:after="0" w:line="207" w:lineRule="exact"/>
        <w:rPr>
          <w:rFonts w:ascii="Times New Roman" w:cs="Times New Roman" w:eastAsia="Times New Roman" w:hAnsi="Times New Roman"/>
          <w:sz w:val="18"/>
          <w:szCs w:val="18"/>
          <w:u w:val="single" w:color="auto"/>
          <w:color w:val="0000EE"/>
        </w:rPr>
      </w:pPr>
    </w:p>
    <w:p>
      <w:pPr>
        <w:jc w:val="both"/>
        <w:ind w:left="900" w:hanging="899"/>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46">
        <w:r>
          <w:rPr>
            <w:rFonts w:ascii="Times New Roman" w:cs="Times New Roman" w:eastAsia="Times New Roman" w:hAnsi="Times New Roman"/>
            <w:sz w:val="18"/>
            <w:szCs w:val="18"/>
            <w:u w:val="single" w:color="auto"/>
            <w:color w:val="0000EE"/>
          </w:rPr>
          <w:t>Offer Letter of Employment, dated February 1, 2025, between the Company and Douglas Faller, incorporated by reference to Exhibit 10.1 to</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the Current Report on Form 8-K of the Company filed on February 10, 2025.</w:t>
        </w:r>
      </w:hyperlink>
    </w:p>
    <w:p>
      <w:pPr>
        <w:spacing w:after="0" w:line="162" w:lineRule="exact"/>
        <w:rPr>
          <w:sz w:val="20"/>
          <w:szCs w:val="20"/>
          <w:color w:val="auto"/>
        </w:rPr>
      </w:pPr>
    </w:p>
    <w:p>
      <w:pPr>
        <w:jc w:val="both"/>
        <w:ind w:left="900" w:hanging="809"/>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47">
        <w:r>
          <w:rPr>
            <w:rFonts w:ascii="Times New Roman" w:cs="Times New Roman" w:eastAsia="Times New Roman" w:hAnsi="Times New Roman"/>
            <w:sz w:val="18"/>
            <w:szCs w:val="18"/>
            <w:u w:val="single" w:color="auto"/>
            <w:color w:val="0000EE"/>
          </w:rPr>
          <w:t>Lease Agreement, executed July 21, 2011, by and between the Company and Brandywine Operating Partnership, L.P., incorporated herein</w:t>
        </w:r>
      </w:hyperlink>
      <w:r>
        <w:rPr>
          <w:rFonts w:ascii="Times New Roman" w:cs="Times New Roman" w:eastAsia="Times New Roman" w:hAnsi="Times New Roman"/>
          <w:sz w:val="18"/>
          <w:szCs w:val="18"/>
          <w:u w:val="single" w:color="auto"/>
          <w:color w:val="0000EE"/>
        </w:rPr>
        <w:t xml:space="preserve"> </w:t>
      </w:r>
      <w:hyperlink r:id="rId47">
        <w:r>
          <w:rPr>
            <w:rFonts w:ascii="Times New Roman" w:cs="Times New Roman" w:eastAsia="Times New Roman" w:hAnsi="Times New Roman"/>
            <w:sz w:val="18"/>
            <w:szCs w:val="18"/>
            <w:u w:val="single" w:color="auto"/>
            <w:color w:val="0000EE"/>
          </w:rPr>
          <w:t>by reference to Exhibit 10.1 to the Current Report on Form 8-K of the Company filed on July 25, 2011.</w:t>
        </w:r>
      </w:hyperlink>
    </w:p>
    <w:p>
      <w:pPr>
        <w:spacing w:after="0" w:line="162" w:lineRule="exact"/>
        <w:rPr>
          <w:sz w:val="20"/>
          <w:szCs w:val="20"/>
          <w:color w:val="auto"/>
        </w:rPr>
      </w:pPr>
    </w:p>
    <w:p>
      <w:pPr>
        <w:jc w:val="both"/>
        <w:ind w:left="900" w:hanging="809"/>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48">
        <w:r>
          <w:rPr>
            <w:rFonts w:ascii="Times New Roman" w:cs="Times New Roman" w:eastAsia="Times New Roman" w:hAnsi="Times New Roman"/>
            <w:sz w:val="18"/>
            <w:szCs w:val="18"/>
            <w:u w:val="single" w:color="auto"/>
            <w:color w:val="0000EE"/>
          </w:rPr>
          <w:t>First Amendment to Lease Agreement, executed April 20, 2017, by and between the Company and Lenox Drive Office Park, LLC,</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incorporated herein by reference to Exhibit 10.1 to the Quarterly Report on Form 10-Q of the Company filed on November 14, 2017.</w:t>
        </w:r>
      </w:hyperlink>
    </w:p>
    <w:p>
      <w:pPr>
        <w:spacing w:after="0" w:line="162" w:lineRule="exact"/>
        <w:rPr>
          <w:sz w:val="20"/>
          <w:szCs w:val="20"/>
          <w:color w:val="auto"/>
        </w:rPr>
      </w:pPr>
    </w:p>
    <w:p>
      <w:pPr>
        <w:jc w:val="both"/>
        <w:ind w:left="900" w:hanging="809"/>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49">
        <w:r>
          <w:rPr>
            <w:rFonts w:ascii="Times New Roman" w:cs="Times New Roman" w:eastAsia="Times New Roman" w:hAnsi="Times New Roman"/>
            <w:sz w:val="18"/>
            <w:szCs w:val="18"/>
            <w:u w:val="single" w:color="auto"/>
            <w:color w:val="0000EE"/>
          </w:rPr>
          <w:t>Second Amendment to Lease Agreement, dated January 9, 2019, by and between the Company and Lenox Drive Office Park, LLC,</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successor in interest to Brandywine Operating Partnership, L.P., incorporated herein by reference to Exhibit 10.1 to the Quarterly Report on</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Form 10-Q of the Company for the quarter ended March 31, 2019.</w:t>
        </w:r>
      </w:hyperlink>
    </w:p>
    <w:p>
      <w:pPr>
        <w:spacing w:after="0" w:line="176" w:lineRule="exact"/>
        <w:rPr>
          <w:rFonts w:ascii="Times New Roman" w:cs="Times New Roman" w:eastAsia="Times New Roman" w:hAnsi="Times New Roman"/>
          <w:sz w:val="18"/>
          <w:szCs w:val="18"/>
          <w:u w:val="single" w:color="auto"/>
          <w:color w:val="0000EE"/>
        </w:rPr>
      </w:pPr>
    </w:p>
    <w:p>
      <w:pPr>
        <w:ind w:left="100"/>
        <w:spacing w:after="0"/>
        <w:tabs>
          <w:tab w:leader="none" w:pos="88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8"/>
          <w:szCs w:val="18"/>
          <w:u w:val="single" w:color="auto"/>
          <w:color w:val="0000EE"/>
        </w:rPr>
        <w:t>Third Amendment to Lease, dated August 31, 2023, between the Company and Lenox Drive Office Park, LLC, filed herewith.</w:t>
      </w:r>
    </w:p>
    <w:p>
      <w:pPr>
        <w:spacing w:after="0" w:line="225" w:lineRule="exact"/>
        <w:rPr>
          <w:rFonts w:ascii="Times New Roman" w:cs="Times New Roman" w:eastAsia="Times New Roman" w:hAnsi="Times New Roman"/>
          <w:sz w:val="18"/>
          <w:szCs w:val="18"/>
          <w:u w:val="single" w:color="auto"/>
          <w:color w:val="0000EE"/>
        </w:rPr>
      </w:pPr>
    </w:p>
    <w:p>
      <w:pPr>
        <w:ind w:left="900" w:right="20" w:hanging="995"/>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50">
        <w:r>
          <w:rPr>
            <w:rFonts w:ascii="Times New Roman" w:cs="Times New Roman" w:eastAsia="Times New Roman" w:hAnsi="Times New Roman"/>
            <w:sz w:val="18"/>
            <w:szCs w:val="18"/>
            <w:u w:val="single" w:color="auto"/>
            <w:color w:val="0000EE"/>
          </w:rPr>
          <w:t>Lease Agreement dated January 4, 2023 between the Company and HudsonAlpha Institute for Biotechnology for office and lab space</w:t>
        </w:r>
      </w:hyperlink>
      <w:r>
        <w:rPr>
          <w:rFonts w:ascii="Times New Roman" w:cs="Times New Roman" w:eastAsia="Times New Roman" w:hAnsi="Times New Roman"/>
          <w:sz w:val="18"/>
          <w:szCs w:val="18"/>
          <w:u w:val="single" w:color="auto"/>
          <w:color w:val="0000EE"/>
        </w:rPr>
        <w:t xml:space="preserve"> </w:t>
      </w:r>
      <w:hyperlink r:id="rId50">
        <w:r>
          <w:rPr>
            <w:rFonts w:ascii="Times New Roman" w:cs="Times New Roman" w:eastAsia="Times New Roman" w:hAnsi="Times New Roman"/>
            <w:sz w:val="18"/>
            <w:szCs w:val="18"/>
            <w:u w:val="single" w:color="auto"/>
            <w:color w:val="0000EE"/>
          </w:rPr>
          <w:t>located in Huntsville, Alabama.</w:t>
        </w:r>
      </w:hyperlink>
    </w:p>
    <w:p>
      <w:pPr>
        <w:spacing w:after="0" w:line="162" w:lineRule="exact"/>
        <w:rPr>
          <w:sz w:val="20"/>
          <w:szCs w:val="20"/>
          <w:color w:val="auto"/>
        </w:rPr>
      </w:pPr>
    </w:p>
    <w:p>
      <w:pPr>
        <w:jc w:val="both"/>
        <w:ind w:left="900" w:hanging="809"/>
        <w:spacing w:after="0" w:line="261"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51">
        <w:r>
          <w:rPr>
            <w:rFonts w:ascii="Times New Roman" w:cs="Times New Roman" w:eastAsia="Times New Roman" w:hAnsi="Times New Roman"/>
            <w:sz w:val="18"/>
            <w:szCs w:val="18"/>
            <w:u w:val="single" w:color="auto"/>
            <w:color w:val="0000EE"/>
          </w:rPr>
          <w:t>Settlement Agreement and Release, by and between the plaintiff to the shareholder action captioned O’Connor v. Braun, et al., N.J. Super.,</w:t>
        </w:r>
      </w:hyperlink>
      <w:r>
        <w:rPr>
          <w:rFonts w:ascii="Times New Roman" w:cs="Times New Roman" w:eastAsia="Times New Roman" w:hAnsi="Times New Roman"/>
          <w:sz w:val="18"/>
          <w:szCs w:val="18"/>
          <w:u w:val="single" w:color="auto"/>
          <w:color w:val="0000EE"/>
        </w:rPr>
        <w:t xml:space="preserve"> </w:t>
      </w:r>
      <w:hyperlink r:id="rId51">
        <w:r>
          <w:rPr>
            <w:rFonts w:ascii="Times New Roman" w:cs="Times New Roman" w:eastAsia="Times New Roman" w:hAnsi="Times New Roman"/>
            <w:sz w:val="18"/>
            <w:szCs w:val="18"/>
            <w:u w:val="single" w:color="auto"/>
            <w:color w:val="0000EE"/>
          </w:rPr>
          <w:t>Dkt. No. MERC-00068-19, William J. O’Connor, derivatively on behalf of Celsion Corporation (now Imunon, Inc.) and individually on</w:t>
        </w:r>
      </w:hyperlink>
      <w:r>
        <w:rPr>
          <w:rFonts w:ascii="Times New Roman" w:cs="Times New Roman" w:eastAsia="Times New Roman" w:hAnsi="Times New Roman"/>
          <w:sz w:val="18"/>
          <w:szCs w:val="18"/>
          <w:u w:val="single" w:color="auto"/>
          <w:color w:val="0000EE"/>
        </w:rPr>
        <w:t xml:space="preserve"> </w:t>
      </w:r>
      <w:hyperlink r:id="rId51">
        <w:r>
          <w:rPr>
            <w:rFonts w:ascii="Times New Roman" w:cs="Times New Roman" w:eastAsia="Times New Roman" w:hAnsi="Times New Roman"/>
            <w:sz w:val="18"/>
            <w:szCs w:val="18"/>
            <w:u w:val="single" w:color="auto"/>
            <w:color w:val="0000EE"/>
          </w:rPr>
          <w:t>behalf of himself and all other similarly situated stockholders of Celsion Corporation and defendants, incorporated herein by reference to</w:t>
        </w:r>
      </w:hyperlink>
      <w:r>
        <w:rPr>
          <w:rFonts w:ascii="Times New Roman" w:cs="Times New Roman" w:eastAsia="Times New Roman" w:hAnsi="Times New Roman"/>
          <w:sz w:val="18"/>
          <w:szCs w:val="18"/>
          <w:u w:val="single" w:color="auto"/>
          <w:color w:val="0000EE"/>
        </w:rPr>
        <w:t xml:space="preserve"> </w:t>
      </w:r>
      <w:hyperlink r:id="rId51">
        <w:r>
          <w:rPr>
            <w:rFonts w:ascii="Times New Roman" w:cs="Times New Roman" w:eastAsia="Times New Roman" w:hAnsi="Times New Roman"/>
            <w:sz w:val="18"/>
            <w:szCs w:val="18"/>
            <w:u w:val="single" w:color="auto"/>
            <w:color w:val="0000EE"/>
          </w:rPr>
          <w:t>Exhibit 10.2 to the Current Report on Form 8-K of the Company, filed on June 16, 2020.</w:t>
        </w:r>
      </w:hyperlink>
    </w:p>
    <w:p>
      <w:pPr>
        <w:spacing w:after="0" w:line="180" w:lineRule="exact"/>
        <w:rPr>
          <w:rFonts w:ascii="Times New Roman" w:cs="Times New Roman" w:eastAsia="Times New Roman" w:hAnsi="Times New Roman"/>
          <w:sz w:val="18"/>
          <w:szCs w:val="18"/>
          <w:u w:val="single" w:color="auto"/>
          <w:color w:val="0000EE"/>
        </w:rPr>
      </w:pPr>
    </w:p>
    <w:p>
      <w:pPr>
        <w:jc w:val="both"/>
        <w:ind w:left="900" w:right="20" w:hanging="809"/>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52">
        <w:r>
          <w:rPr>
            <w:rFonts w:ascii="Times New Roman" w:cs="Times New Roman" w:eastAsia="Times New Roman" w:hAnsi="Times New Roman"/>
            <w:sz w:val="18"/>
            <w:szCs w:val="18"/>
            <w:u w:val="single" w:color="auto"/>
            <w:color w:val="0000EE"/>
          </w:rPr>
          <w:t>Form of Exercise Agreement, incorporated herein by reference to Exhibit 10.1 to the Current Report on Form 8-K of the Company, filed on</w:t>
        </w:r>
      </w:hyperlink>
      <w:r>
        <w:rPr>
          <w:rFonts w:ascii="Times New Roman" w:cs="Times New Roman" w:eastAsia="Times New Roman" w:hAnsi="Times New Roman"/>
          <w:sz w:val="18"/>
          <w:szCs w:val="18"/>
          <w:u w:val="single" w:color="auto"/>
          <w:color w:val="0000EE"/>
        </w:rPr>
        <w:t xml:space="preserve"> </w:t>
      </w:r>
      <w:hyperlink r:id="rId52">
        <w:r>
          <w:rPr>
            <w:rFonts w:ascii="Times New Roman" w:cs="Times New Roman" w:eastAsia="Times New Roman" w:hAnsi="Times New Roman"/>
            <w:sz w:val="18"/>
            <w:szCs w:val="18"/>
            <w:u w:val="single" w:color="auto"/>
            <w:color w:val="0000EE"/>
          </w:rPr>
          <w:t>March 13, 2020.</w:t>
        </w:r>
      </w:hyperlink>
    </w:p>
    <w:p>
      <w:pPr>
        <w:spacing w:after="0" w:line="162" w:lineRule="exact"/>
        <w:rPr>
          <w:sz w:val="20"/>
          <w:szCs w:val="20"/>
          <w:color w:val="auto"/>
        </w:rPr>
      </w:pPr>
    </w:p>
    <w:p>
      <w:pPr>
        <w:jc w:val="both"/>
        <w:ind w:left="900" w:hanging="809"/>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53">
        <w:r>
          <w:rPr>
            <w:rFonts w:ascii="Times New Roman" w:cs="Times New Roman" w:eastAsia="Times New Roman" w:hAnsi="Times New Roman"/>
            <w:sz w:val="18"/>
            <w:szCs w:val="18"/>
            <w:u w:val="single" w:color="auto"/>
            <w:color w:val="0000EE"/>
          </w:rPr>
          <w:t>At the Market Offering Agreement, dated May 25, 2022, by and between the Company and H.C. Wainwright &amp; Co. LLC, incorporated by</w:t>
        </w:r>
      </w:hyperlink>
      <w:r>
        <w:rPr>
          <w:rFonts w:ascii="Times New Roman" w:cs="Times New Roman" w:eastAsia="Times New Roman" w:hAnsi="Times New Roman"/>
          <w:sz w:val="18"/>
          <w:szCs w:val="18"/>
          <w:u w:val="single" w:color="auto"/>
          <w:color w:val="0000EE"/>
        </w:rPr>
        <w:t xml:space="preserve"> </w:t>
      </w:r>
      <w:hyperlink r:id="rId53">
        <w:r>
          <w:rPr>
            <w:rFonts w:ascii="Times New Roman" w:cs="Times New Roman" w:eastAsia="Times New Roman" w:hAnsi="Times New Roman"/>
            <w:sz w:val="18"/>
            <w:szCs w:val="18"/>
            <w:u w:val="single" w:color="auto"/>
            <w:color w:val="0000EE"/>
          </w:rPr>
          <w:t>reference to Exhibit 10.1 to the Current Report on Form 8-K of the Company, filed on May 25, 2022.</w:t>
        </w:r>
      </w:hyperlink>
    </w:p>
    <w:p>
      <w:pPr>
        <w:spacing w:after="0" w:line="162" w:lineRule="exact"/>
        <w:rPr>
          <w:sz w:val="20"/>
          <w:szCs w:val="20"/>
          <w:color w:val="auto"/>
        </w:rPr>
      </w:pPr>
    </w:p>
    <w:p>
      <w:pPr>
        <w:jc w:val="both"/>
        <w:ind w:left="900" w:hanging="809"/>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54">
        <w:r>
          <w:rPr>
            <w:rFonts w:ascii="Times New Roman" w:cs="Times New Roman" w:eastAsia="Times New Roman" w:hAnsi="Times New Roman"/>
            <w:sz w:val="18"/>
            <w:szCs w:val="18"/>
            <w:u w:val="single" w:color="auto"/>
            <w:color w:val="0000EE"/>
          </w:rPr>
          <w:t>Amendment No. 1, dated May 15, 2024, to At the Market Offering Agreement, by and between the Company and H.C. Wainwright &amp; Co.</w:t>
        </w:r>
      </w:hyperlink>
      <w:r>
        <w:rPr>
          <w:rFonts w:ascii="Times New Roman" w:cs="Times New Roman" w:eastAsia="Times New Roman" w:hAnsi="Times New Roman"/>
          <w:sz w:val="18"/>
          <w:szCs w:val="18"/>
          <w:u w:val="single" w:color="auto"/>
          <w:color w:val="0000EE"/>
        </w:rPr>
        <w:t xml:space="preserve"> </w:t>
      </w:r>
      <w:hyperlink r:id="rId54">
        <w:r>
          <w:rPr>
            <w:rFonts w:ascii="Times New Roman" w:cs="Times New Roman" w:eastAsia="Times New Roman" w:hAnsi="Times New Roman"/>
            <w:sz w:val="18"/>
            <w:szCs w:val="18"/>
            <w:u w:val="single" w:color="auto"/>
            <w:color w:val="0000EE"/>
          </w:rPr>
          <w:t>LLC, incorporated by reference to Exhibit 1.3 to the Company’s Registration Statement on Form S-3 (No. 333-279425) filed on May 15,</w:t>
        </w:r>
      </w:hyperlink>
      <w:r>
        <w:rPr>
          <w:rFonts w:ascii="Times New Roman" w:cs="Times New Roman" w:eastAsia="Times New Roman" w:hAnsi="Times New Roman"/>
          <w:sz w:val="18"/>
          <w:szCs w:val="18"/>
          <w:u w:val="single" w:color="auto"/>
          <w:color w:val="0000EE"/>
        </w:rPr>
        <w:t xml:space="preserve"> </w:t>
      </w:r>
      <w:hyperlink r:id="rId54">
        <w:r>
          <w:rPr>
            <w:rFonts w:ascii="Times New Roman" w:cs="Times New Roman" w:eastAsia="Times New Roman" w:hAnsi="Times New Roman"/>
            <w:sz w:val="18"/>
            <w:szCs w:val="18"/>
            <w:u w:val="single" w:color="auto"/>
            <w:color w:val="0000EE"/>
          </w:rPr>
          <w:t>2024.</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900" w:hanging="809"/>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55">
        <w:r>
          <w:rPr>
            <w:rFonts w:ascii="Times New Roman" w:cs="Times New Roman" w:eastAsia="Times New Roman" w:hAnsi="Times New Roman"/>
            <w:sz w:val="18"/>
            <w:szCs w:val="18"/>
            <w:u w:val="single" w:color="auto"/>
            <w:color w:val="0000EE"/>
          </w:rPr>
          <w:t>Form of Securities Purchase Agreement, dated as of July 30, 2024, by and among the Company and each purchaser party thereto,</w:t>
        </w:r>
      </w:hyperlink>
      <w:r>
        <w:rPr>
          <w:rFonts w:ascii="Times New Roman" w:cs="Times New Roman" w:eastAsia="Times New Roman" w:hAnsi="Times New Roman"/>
          <w:sz w:val="18"/>
          <w:szCs w:val="18"/>
          <w:u w:val="single" w:color="auto"/>
          <w:color w:val="0000EE"/>
        </w:rPr>
        <w:t xml:space="preserve"> </w:t>
      </w:r>
      <w:hyperlink r:id="rId55">
        <w:r>
          <w:rPr>
            <w:rFonts w:ascii="Times New Roman" w:cs="Times New Roman" w:eastAsia="Times New Roman" w:hAnsi="Times New Roman"/>
            <w:sz w:val="18"/>
            <w:szCs w:val="18"/>
            <w:u w:val="single" w:color="auto"/>
            <w:color w:val="0000EE"/>
          </w:rPr>
          <w:t>incorporated by reference to Exhibit 10.1 to the Current Report on Form 8-K of the Company, filed on July 31,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251460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520" w:top="688" w:right="339" w:bottom="1440" w:gutter="0" w:footer="0" w:header="0"/>
        </w:sectPr>
      </w:pPr>
    </w:p>
    <w:bookmarkStart w:id="6" w:name="page7"/>
    <w:bookmarkEnd w:id="6"/>
    <w:p>
      <w:pPr>
        <w:ind w:left="1092" w:hanging="809"/>
        <w:spacing w:after="0" w:line="282" w:lineRule="auto"/>
        <w:tabs>
          <w:tab w:leader="none" w:pos="1072"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57">
        <w:r>
          <w:rPr>
            <w:rFonts w:ascii="Times New Roman" w:cs="Times New Roman" w:eastAsia="Times New Roman" w:hAnsi="Times New Roman"/>
            <w:sz w:val="18"/>
            <w:szCs w:val="18"/>
            <w:u w:val="single" w:color="auto"/>
            <w:color w:val="0000EE"/>
          </w:rPr>
          <w:t>Form of Exchange Agreement, dated May 12, 2025, incorporated herein by reference to Exhibit 10.1 to the Current Report on Form 8-K of</w:t>
        </w:r>
      </w:hyperlink>
      <w:r>
        <w:rPr>
          <w:rFonts w:ascii="Times New Roman" w:cs="Times New Roman" w:eastAsia="Times New Roman" w:hAnsi="Times New Roman"/>
          <w:sz w:val="18"/>
          <w:szCs w:val="18"/>
          <w:u w:val="single" w:color="auto"/>
          <w:color w:val="0000EE"/>
        </w:rPr>
        <w:t xml:space="preserve"> </w:t>
      </w:r>
      <w:hyperlink r:id="rId57">
        <w:r>
          <w:rPr>
            <w:rFonts w:ascii="Times New Roman" w:cs="Times New Roman" w:eastAsia="Times New Roman" w:hAnsi="Times New Roman"/>
            <w:sz w:val="18"/>
            <w:szCs w:val="18"/>
            <w:u w:val="single" w:color="auto"/>
            <w:color w:val="0000EE"/>
          </w:rPr>
          <w:t>the Company filed on May 13, 2025.</w:t>
        </w:r>
      </w:hyperlink>
    </w:p>
    <w:p>
      <w:pPr>
        <w:spacing w:after="0" w:line="162" w:lineRule="exact"/>
        <w:rPr>
          <w:sz w:val="20"/>
          <w:szCs w:val="20"/>
          <w:color w:val="auto"/>
        </w:rPr>
      </w:pPr>
    </w:p>
    <w:p>
      <w:pPr>
        <w:ind w:left="1092" w:hanging="809"/>
        <w:spacing w:after="0" w:line="282" w:lineRule="auto"/>
        <w:tabs>
          <w:tab w:leader="none" w:pos="1072"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58">
        <w:r>
          <w:rPr>
            <w:rFonts w:ascii="Times New Roman" w:cs="Times New Roman" w:eastAsia="Times New Roman" w:hAnsi="Times New Roman"/>
            <w:sz w:val="18"/>
            <w:szCs w:val="18"/>
            <w:u w:val="single" w:color="auto"/>
            <w:color w:val="0000EE"/>
          </w:rPr>
          <w:t>Form of Securities Purchase Agreement, incorporated herein by reference to Exhibit 10.1 to the Current Report on Form 8-K of the</w:t>
        </w:r>
      </w:hyperlink>
      <w:r>
        <w:rPr>
          <w:rFonts w:ascii="Times New Roman" w:cs="Times New Roman" w:eastAsia="Times New Roman" w:hAnsi="Times New Roman"/>
          <w:sz w:val="18"/>
          <w:szCs w:val="18"/>
          <w:u w:val="single" w:color="auto"/>
          <w:color w:val="0000EE"/>
        </w:rPr>
        <w:t xml:space="preserve"> </w:t>
      </w:r>
      <w:hyperlink r:id="rId58">
        <w:r>
          <w:rPr>
            <w:rFonts w:ascii="Times New Roman" w:cs="Times New Roman" w:eastAsia="Times New Roman" w:hAnsi="Times New Roman"/>
            <w:sz w:val="18"/>
            <w:szCs w:val="18"/>
            <w:u w:val="single" w:color="auto"/>
            <w:color w:val="0000EE"/>
          </w:rPr>
          <w:t>Company filed on May 27, 2025.</w:t>
        </w:r>
      </w:hyperlink>
    </w:p>
    <w:p>
      <w:pPr>
        <w:spacing w:after="0" w:line="162" w:lineRule="exact"/>
        <w:rPr>
          <w:sz w:val="20"/>
          <w:szCs w:val="20"/>
          <w:color w:val="auto"/>
        </w:rPr>
      </w:pPr>
    </w:p>
    <w:p>
      <w:pPr>
        <w:ind w:left="1092" w:hanging="809"/>
        <w:spacing w:after="0" w:line="282" w:lineRule="auto"/>
        <w:tabs>
          <w:tab w:leader="none" w:pos="1072"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59">
        <w:r>
          <w:rPr>
            <w:rFonts w:ascii="Times New Roman" w:cs="Times New Roman" w:eastAsia="Times New Roman" w:hAnsi="Times New Roman"/>
            <w:sz w:val="18"/>
            <w:szCs w:val="18"/>
            <w:u w:val="single" w:color="auto"/>
            <w:color w:val="0000EE"/>
          </w:rPr>
          <w:t>Form of Registration Rights Agreement, incorporated herein by reference to Exhibit 10.2 to the Current Report on Form 8-K of the</w:t>
        </w:r>
      </w:hyperlink>
      <w:r>
        <w:rPr>
          <w:rFonts w:ascii="Times New Roman" w:cs="Times New Roman" w:eastAsia="Times New Roman" w:hAnsi="Times New Roman"/>
          <w:sz w:val="18"/>
          <w:szCs w:val="18"/>
          <w:u w:val="single" w:color="auto"/>
          <w:color w:val="0000EE"/>
        </w:rPr>
        <w:t xml:space="preserve"> </w:t>
      </w:r>
      <w:hyperlink r:id="rId59">
        <w:r>
          <w:rPr>
            <w:rFonts w:ascii="Times New Roman" w:cs="Times New Roman" w:eastAsia="Times New Roman" w:hAnsi="Times New Roman"/>
            <w:sz w:val="18"/>
            <w:szCs w:val="18"/>
            <w:u w:val="single" w:color="auto"/>
            <w:color w:val="0000EE"/>
          </w:rPr>
          <w:t>Company filed on May 27, 2025.</w:t>
        </w:r>
      </w:hyperlink>
    </w:p>
    <w:p>
      <w:pPr>
        <w:spacing w:after="0" w:line="162" w:lineRule="exact"/>
        <w:rPr>
          <w:sz w:val="20"/>
          <w:szCs w:val="20"/>
          <w:color w:val="auto"/>
        </w:rPr>
      </w:pPr>
    </w:p>
    <w:p>
      <w:pPr>
        <w:ind w:left="1092" w:hanging="809"/>
        <w:spacing w:after="0" w:line="282" w:lineRule="auto"/>
        <w:tabs>
          <w:tab w:leader="none" w:pos="1072"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60">
        <w:r>
          <w:rPr>
            <w:rFonts w:ascii="Times New Roman" w:cs="Times New Roman" w:eastAsia="Times New Roman" w:hAnsi="Times New Roman"/>
            <w:sz w:val="18"/>
            <w:szCs w:val="18"/>
            <w:u w:val="single" w:color="auto"/>
            <w:color w:val="0000EE"/>
          </w:rPr>
          <w:t>Form of Securities Purchase Agreement, incorporated herein by reference to Exhibit 10.1 to the Current Report on Form 8-K of the</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Company filed on December 31, 2025.</w:t>
        </w:r>
      </w:hyperlink>
    </w:p>
    <w:p>
      <w:pPr>
        <w:spacing w:after="0" w:line="162" w:lineRule="exact"/>
        <w:rPr>
          <w:sz w:val="20"/>
          <w:szCs w:val="20"/>
          <w:color w:val="auto"/>
        </w:rPr>
      </w:pPr>
    </w:p>
    <w:p>
      <w:pPr>
        <w:ind w:left="152"/>
        <w:spacing w:after="0"/>
        <w:tabs>
          <w:tab w:leader="none" w:pos="1072"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61">
        <w:r>
          <w:rPr>
            <w:rFonts w:ascii="Times New Roman" w:cs="Times New Roman" w:eastAsia="Times New Roman" w:hAnsi="Times New Roman"/>
            <w:sz w:val="17"/>
            <w:szCs w:val="17"/>
            <w:u w:val="single" w:color="auto"/>
            <w:color w:val="0000EE"/>
          </w:rPr>
          <w:t>First Amendment to Retirement and Consulting Agreement, dated June 29, 2026, between Imunon, Inc. and Khursheed Anwer.</w:t>
        </w:r>
      </w:hyperlink>
    </w:p>
    <w:p>
      <w:pPr>
        <w:spacing w:after="0" w:line="225" w:lineRule="exact"/>
        <w:rPr>
          <w:sz w:val="20"/>
          <w:szCs w:val="20"/>
          <w:color w:val="auto"/>
        </w:rPr>
      </w:pPr>
    </w:p>
    <w:p>
      <w:pPr>
        <w:ind w:left="1092" w:right="20" w:hanging="944"/>
        <w:spacing w:after="0" w:line="282" w:lineRule="auto"/>
        <w:tabs>
          <w:tab w:leader="none" w:pos="1072"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62">
        <w:r>
          <w:rPr>
            <w:rFonts w:ascii="Times New Roman" w:cs="Times New Roman" w:eastAsia="Times New Roman" w:hAnsi="Times New Roman"/>
            <w:sz w:val="18"/>
            <w:szCs w:val="18"/>
            <w:u w:val="single" w:color="auto"/>
            <w:color w:val="0000EE"/>
          </w:rPr>
          <w:t>Securities Purchase Agreement dated June 2, 2026, by and between the Company and Streeterville Capital, LLC, incorporated by reference</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to Exhibit 10.1 to the Current Report on Form 8-K of the Company filed on June 4, 2026.</w:t>
        </w:r>
      </w:hyperlink>
    </w:p>
    <w:p>
      <w:pPr>
        <w:spacing w:after="0" w:line="162" w:lineRule="exact"/>
        <w:rPr>
          <w:sz w:val="20"/>
          <w:szCs w:val="20"/>
          <w:color w:val="auto"/>
        </w:rPr>
      </w:pPr>
    </w:p>
    <w:p>
      <w:pPr>
        <w:ind w:left="1092" w:hanging="809"/>
        <w:spacing w:after="0" w:line="282" w:lineRule="auto"/>
        <w:tabs>
          <w:tab w:leader="none" w:pos="1072"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63">
        <w:r>
          <w:rPr>
            <w:rFonts w:ascii="Times New Roman" w:cs="Times New Roman" w:eastAsia="Times New Roman" w:hAnsi="Times New Roman"/>
            <w:sz w:val="18"/>
            <w:szCs w:val="18"/>
            <w:u w:val="single" w:color="auto"/>
            <w:color w:val="0000EE"/>
          </w:rPr>
          <w:t>Secured Promissory Note A-1 dated June 2, 2026, made by the Company in favor of Streeterville Capital, LLC, incorporated by reference to</w:t>
        </w:r>
      </w:hyperlink>
      <w:r>
        <w:rPr>
          <w:rFonts w:ascii="Times New Roman" w:cs="Times New Roman" w:eastAsia="Times New Roman" w:hAnsi="Times New Roman"/>
          <w:sz w:val="18"/>
          <w:szCs w:val="18"/>
          <w:u w:val="single" w:color="auto"/>
          <w:color w:val="0000EE"/>
        </w:rPr>
        <w:t xml:space="preserve"> </w:t>
      </w:r>
      <w:hyperlink r:id="rId63">
        <w:r>
          <w:rPr>
            <w:rFonts w:ascii="Times New Roman" w:cs="Times New Roman" w:eastAsia="Times New Roman" w:hAnsi="Times New Roman"/>
            <w:sz w:val="18"/>
            <w:szCs w:val="18"/>
            <w:u w:val="single" w:color="auto"/>
            <w:color w:val="0000EE"/>
          </w:rPr>
          <w:t>Exhibit 10.2 to the Current Report on Form 8-K of the Company filed on June 4, 2026.</w:t>
        </w:r>
      </w:hyperlink>
    </w:p>
    <w:p>
      <w:pPr>
        <w:spacing w:after="0" w:line="162" w:lineRule="exact"/>
        <w:rPr>
          <w:sz w:val="20"/>
          <w:szCs w:val="20"/>
          <w:color w:val="auto"/>
        </w:rPr>
      </w:pPr>
    </w:p>
    <w:p>
      <w:pPr>
        <w:ind w:left="1092" w:hanging="809"/>
        <w:spacing w:after="0" w:line="282" w:lineRule="auto"/>
        <w:tabs>
          <w:tab w:leader="none" w:pos="1072"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10.35</w:t>
      </w:r>
      <w:r>
        <w:rPr>
          <w:sz w:val="20"/>
          <w:szCs w:val="20"/>
          <w:color w:val="auto"/>
        </w:rPr>
        <w:tab/>
      </w:r>
      <w:hyperlink r:id="rId64">
        <w:r>
          <w:rPr>
            <w:rFonts w:ascii="Times New Roman" w:cs="Times New Roman" w:eastAsia="Times New Roman" w:hAnsi="Times New Roman"/>
            <w:sz w:val="18"/>
            <w:szCs w:val="18"/>
            <w:u w:val="single" w:color="auto"/>
            <w:color w:val="0000EE"/>
          </w:rPr>
          <w:t>Secured Promissory Note B dated June 2, 2026, made by the Company in favor of Streeterville Capital, LLC, incorporated by reference to</w:t>
        </w:r>
      </w:hyperlink>
      <w:r>
        <w:rPr>
          <w:rFonts w:ascii="Times New Roman" w:cs="Times New Roman" w:eastAsia="Times New Roman" w:hAnsi="Times New Roman"/>
          <w:sz w:val="18"/>
          <w:szCs w:val="18"/>
          <w:u w:val="single" w:color="auto"/>
          <w:color w:val="0000EE"/>
        </w:rPr>
        <w:t xml:space="preserve"> </w:t>
      </w:r>
      <w:hyperlink r:id="rId64">
        <w:r>
          <w:rPr>
            <w:rFonts w:ascii="Times New Roman" w:cs="Times New Roman" w:eastAsia="Times New Roman" w:hAnsi="Times New Roman"/>
            <w:sz w:val="18"/>
            <w:szCs w:val="18"/>
            <w:u w:val="single" w:color="auto"/>
            <w:color w:val="0000EE"/>
          </w:rPr>
          <w:t>Exhibit 10.3 to the Current Report on Form 8-K of the Company filed on June 4, 2026.</w:t>
        </w:r>
      </w:hyperlink>
    </w:p>
    <w:p>
      <w:pPr>
        <w:spacing w:after="0" w:line="162" w:lineRule="exact"/>
        <w:rPr>
          <w:sz w:val="20"/>
          <w:szCs w:val="20"/>
          <w:color w:val="auto"/>
        </w:rPr>
      </w:pPr>
    </w:p>
    <w:p>
      <w:pPr>
        <w:ind w:left="1092" w:hanging="899"/>
        <w:spacing w:after="0" w:line="282" w:lineRule="auto"/>
        <w:tabs>
          <w:tab w:leader="none" w:pos="1072"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10.36**</w:t>
      </w:r>
      <w:r>
        <w:rPr>
          <w:sz w:val="20"/>
          <w:szCs w:val="20"/>
          <w:color w:val="auto"/>
        </w:rPr>
        <w:tab/>
      </w:r>
      <w:hyperlink r:id="rId65">
        <w:r>
          <w:rPr>
            <w:rFonts w:ascii="Times New Roman" w:cs="Times New Roman" w:eastAsia="Times New Roman" w:hAnsi="Times New Roman"/>
            <w:sz w:val="18"/>
            <w:szCs w:val="18"/>
            <w:u w:val="single" w:color="auto"/>
            <w:color w:val="0000EE"/>
          </w:rPr>
          <w:t>IMUNON, Inc. 2018 Stock Incentive Plan, as amended as of June 16, 2026, incorporated by reference to Exhibit 10.1 to the Current Report</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on Form 8-K of the Company filed on June 16, 2026</w:t>
        </w:r>
      </w:hyperlink>
    </w:p>
    <w:p>
      <w:pPr>
        <w:spacing w:after="0" w:line="162" w:lineRule="exact"/>
        <w:rPr>
          <w:sz w:val="20"/>
          <w:szCs w:val="20"/>
          <w:color w:val="auto"/>
        </w:rPr>
      </w:pPr>
    </w:p>
    <w:p>
      <w:pPr>
        <w:ind w:left="1092" w:hanging="899"/>
        <w:spacing w:after="0" w:line="282" w:lineRule="auto"/>
        <w:tabs>
          <w:tab w:leader="none" w:pos="1072"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10.37**</w:t>
      </w:r>
      <w:r>
        <w:rPr>
          <w:sz w:val="20"/>
          <w:szCs w:val="20"/>
          <w:color w:val="auto"/>
        </w:rPr>
        <w:tab/>
      </w:r>
      <w:hyperlink r:id="rId66">
        <w:r>
          <w:rPr>
            <w:rFonts w:ascii="Times New Roman" w:cs="Times New Roman" w:eastAsia="Times New Roman" w:hAnsi="Times New Roman"/>
            <w:sz w:val="18"/>
            <w:szCs w:val="18"/>
            <w:u w:val="single" w:color="auto"/>
            <w:color w:val="0000EE"/>
          </w:rPr>
          <w:t>Master Services Agreement, dated June 24, 2026, by and between Imunon, Inc. and Danforth Health, Inc., incorporated by reference to</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Exhibit 10.1 to the Current Report on Form 8-K of the Company filed on June 30, 2026.</w:t>
        </w:r>
      </w:hyperlink>
    </w:p>
    <w:p>
      <w:pPr>
        <w:spacing w:after="0" w:line="162" w:lineRule="exact"/>
        <w:rPr>
          <w:sz w:val="20"/>
          <w:szCs w:val="20"/>
          <w:color w:val="auto"/>
        </w:rPr>
      </w:pPr>
    </w:p>
    <w:p>
      <w:pPr>
        <w:ind w:left="1092" w:right="20" w:hanging="899"/>
        <w:spacing w:after="0" w:line="282" w:lineRule="auto"/>
        <w:tabs>
          <w:tab w:leader="none" w:pos="1072"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10.38**</w:t>
      </w:r>
      <w:r>
        <w:rPr>
          <w:sz w:val="20"/>
          <w:szCs w:val="20"/>
          <w:color w:val="auto"/>
        </w:rPr>
        <w:tab/>
      </w:r>
      <w:hyperlink r:id="rId67">
        <w:r>
          <w:rPr>
            <w:rFonts w:ascii="Times New Roman" w:cs="Times New Roman" w:eastAsia="Times New Roman" w:hAnsi="Times New Roman"/>
            <w:sz w:val="18"/>
            <w:szCs w:val="18"/>
            <w:u w:val="single" w:color="auto"/>
            <w:color w:val="0000EE"/>
          </w:rPr>
          <w:t>Form of Change in Control Agreement, incorporated by reference to Exhibit 10.1 to the Current Report on Form 8-K of the Company filed</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on May 4, 2026.</w:t>
        </w:r>
      </w:hyperlink>
    </w:p>
    <w:p>
      <w:pPr>
        <w:spacing w:after="0" w:line="162" w:lineRule="exact"/>
        <w:rPr>
          <w:sz w:val="20"/>
          <w:szCs w:val="20"/>
          <w:color w:val="auto"/>
        </w:rPr>
      </w:pPr>
    </w:p>
    <w:p>
      <w:pPr>
        <w:ind w:left="1092" w:hanging="809"/>
        <w:spacing w:after="0" w:line="282" w:lineRule="auto"/>
        <w:tabs>
          <w:tab w:leader="none" w:pos="1072"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10.39</w:t>
      </w:r>
      <w:r>
        <w:rPr>
          <w:sz w:val="20"/>
          <w:szCs w:val="20"/>
          <w:color w:val="auto"/>
        </w:rPr>
        <w:tab/>
      </w:r>
      <w:hyperlink r:id="rId68">
        <w:r>
          <w:rPr>
            <w:rFonts w:ascii="Times New Roman" w:cs="Times New Roman" w:eastAsia="Times New Roman" w:hAnsi="Times New Roman"/>
            <w:sz w:val="18"/>
            <w:szCs w:val="18"/>
            <w:u w:val="single" w:color="auto"/>
            <w:color w:val="0000EE"/>
          </w:rPr>
          <w:t>Exchange Agreement, dated September 28, 2026, by and between the Company and Streeterville Capital, LLC, incorporated by reference to</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Exhibit 10.1 to the Current Report on Form 8-K of the Company filed on September 29, 2026.</w:t>
        </w:r>
      </w:hyperlink>
    </w:p>
    <w:p>
      <w:pPr>
        <w:spacing w:after="0" w:line="162" w:lineRule="exact"/>
        <w:rPr>
          <w:sz w:val="20"/>
          <w:szCs w:val="20"/>
          <w:color w:val="auto"/>
        </w:rPr>
      </w:pPr>
    </w:p>
    <w:p>
      <w:pPr>
        <w:ind w:left="292"/>
        <w:spacing w:after="0"/>
        <w:tabs>
          <w:tab w:leader="none" w:pos="1072" w:val="left"/>
        </w:tabs>
        <w:rPr>
          <w:sz w:val="20"/>
          <w:szCs w:val="20"/>
          <w:color w:val="auto"/>
        </w:rPr>
      </w:pPr>
      <w:r>
        <w:rPr>
          <w:rFonts w:ascii="Times New Roman" w:cs="Times New Roman" w:eastAsia="Times New Roman" w:hAnsi="Times New Roman"/>
          <w:sz w:val="18"/>
          <w:szCs w:val="18"/>
          <w:color w:val="auto"/>
        </w:rPr>
        <w:t>10.40</w:t>
      </w:r>
      <w:r>
        <w:rPr>
          <w:sz w:val="20"/>
          <w:szCs w:val="20"/>
          <w:color w:val="auto"/>
        </w:rPr>
        <w:tab/>
      </w:r>
      <w:r>
        <w:rPr>
          <w:rFonts w:ascii="Times New Roman" w:cs="Times New Roman" w:eastAsia="Times New Roman" w:hAnsi="Times New Roman"/>
          <w:sz w:val="17"/>
          <w:szCs w:val="17"/>
          <w:u w:val="single" w:color="auto"/>
          <w:color w:val="0000EE"/>
        </w:rPr>
        <w:t>Form of Warrant Agency Agreement between the Company and Equiniti Trust Company, LLC, as warrant agent, filed herewith.</w:t>
      </w:r>
    </w:p>
    <w:p>
      <w:pPr>
        <w:spacing w:after="0" w:line="225" w:lineRule="exact"/>
        <w:rPr>
          <w:sz w:val="20"/>
          <w:szCs w:val="20"/>
          <w:color w:val="auto"/>
        </w:rPr>
      </w:pPr>
    </w:p>
    <w:p>
      <w:pPr>
        <w:ind w:left="192"/>
        <w:spacing w:after="0"/>
        <w:tabs>
          <w:tab w:leader="none" w:pos="1072"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10.41†+</w:t>
      </w:r>
      <w:r>
        <w:rPr>
          <w:sz w:val="20"/>
          <w:szCs w:val="20"/>
          <w:color w:val="auto"/>
        </w:rPr>
        <w:tab/>
      </w:r>
      <w:hyperlink r:id="rId69">
        <w:r>
          <w:rPr>
            <w:rFonts w:ascii="Times New Roman" w:cs="Times New Roman" w:eastAsia="Times New Roman" w:hAnsi="Times New Roman"/>
            <w:sz w:val="17"/>
            <w:szCs w:val="17"/>
            <w:u w:val="single" w:color="auto"/>
            <w:color w:val="0000EE"/>
          </w:rPr>
          <w:t>Asset Purchase Agreement, dated October 20, 2026, by and between the Company and VoxelDox Therapeutics, Inc.</w:t>
        </w:r>
      </w:hyperlink>
    </w:p>
    <w:p>
      <w:pPr>
        <w:spacing w:after="0" w:line="225" w:lineRule="exact"/>
        <w:rPr>
          <w:sz w:val="20"/>
          <w:szCs w:val="20"/>
          <w:color w:val="auto"/>
        </w:rPr>
      </w:pPr>
    </w:p>
    <w:p>
      <w:pPr>
        <w:ind w:left="232"/>
        <w:spacing w:after="0"/>
        <w:tabs>
          <w:tab w:leader="none" w:pos="1072"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10.42+</w:t>
      </w:r>
      <w:r>
        <w:rPr>
          <w:sz w:val="20"/>
          <w:szCs w:val="20"/>
          <w:color w:val="auto"/>
        </w:rPr>
        <w:tab/>
      </w:r>
      <w:hyperlink r:id="rId70">
        <w:r>
          <w:rPr>
            <w:rFonts w:ascii="Times New Roman" w:cs="Times New Roman" w:eastAsia="Times New Roman" w:hAnsi="Times New Roman"/>
            <w:sz w:val="17"/>
            <w:szCs w:val="17"/>
            <w:u w:val="single" w:color="auto"/>
            <w:color w:val="0000EE"/>
          </w:rPr>
          <w:t>Third Amendment to Lease, dated November 2019, between the Company and Lenox Drive Office Park, LLC.</w:t>
        </w:r>
      </w:hyperlink>
    </w:p>
    <w:p>
      <w:pPr>
        <w:spacing w:after="0" w:line="225" w:lineRule="exact"/>
        <w:rPr>
          <w:sz w:val="20"/>
          <w:szCs w:val="20"/>
          <w:color w:val="auto"/>
        </w:rPr>
      </w:pPr>
    </w:p>
    <w:p>
      <w:pPr>
        <w:ind w:left="92"/>
        <w:spacing w:after="0"/>
        <w:tabs>
          <w:tab w:leader="none" w:pos="1072"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10.43***+</w:t>
      </w:r>
      <w:r>
        <w:rPr>
          <w:sz w:val="20"/>
          <w:szCs w:val="20"/>
          <w:color w:val="auto"/>
        </w:rPr>
        <w:tab/>
      </w:r>
      <w:hyperlink r:id="rId71">
        <w:r>
          <w:rPr>
            <w:rFonts w:ascii="Times New Roman" w:cs="Times New Roman" w:eastAsia="Times New Roman" w:hAnsi="Times New Roman"/>
            <w:sz w:val="17"/>
            <w:szCs w:val="17"/>
            <w:u w:val="single" w:color="auto"/>
            <w:color w:val="0000EE"/>
          </w:rPr>
          <w:t>Fourth Amendment to Lease, dated May 2, 2025, between the Company and Lenox Drive Office Park, LLC.</w:t>
        </w:r>
      </w:hyperlink>
    </w:p>
    <w:p>
      <w:pPr>
        <w:spacing w:after="0" w:line="225" w:lineRule="exact"/>
        <w:rPr>
          <w:sz w:val="20"/>
          <w:szCs w:val="20"/>
          <w:color w:val="auto"/>
        </w:rPr>
      </w:pPr>
    </w:p>
    <w:p>
      <w:pPr>
        <w:ind w:left="1092" w:hanging="764"/>
        <w:spacing w:after="0" w:line="282" w:lineRule="auto"/>
        <w:tabs>
          <w:tab w:leader="none" w:pos="1072"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r:id="rId72">
        <w:r>
          <w:rPr>
            <w:rFonts w:ascii="Times New Roman" w:cs="Times New Roman" w:eastAsia="Times New Roman" w:hAnsi="Times New Roman"/>
            <w:sz w:val="18"/>
            <w:szCs w:val="18"/>
            <w:u w:val="single" w:color="auto"/>
            <w:color w:val="0000EE"/>
          </w:rPr>
          <w:t>Subsidiaries of Imunon, Inc., incorporated by reference to Exhibit 21.1 to the Annual Report on Form 10-K of the Company for the year</w:t>
        </w:r>
      </w:hyperlink>
      <w:r>
        <w:rPr>
          <w:rFonts w:ascii="Times New Roman" w:cs="Times New Roman" w:eastAsia="Times New Roman" w:hAnsi="Times New Roman"/>
          <w:sz w:val="18"/>
          <w:szCs w:val="18"/>
          <w:u w:val="single" w:color="auto"/>
          <w:color w:val="0000EE"/>
        </w:rPr>
        <w:t xml:space="preserve"> </w:t>
      </w:r>
      <w:hyperlink r:id="rId72">
        <w:r>
          <w:rPr>
            <w:rFonts w:ascii="Times New Roman" w:cs="Times New Roman" w:eastAsia="Times New Roman" w:hAnsi="Times New Roman"/>
            <w:sz w:val="18"/>
            <w:szCs w:val="18"/>
            <w:u w:val="single" w:color="auto"/>
            <w:color w:val="0000EE"/>
          </w:rPr>
          <w:t>ended December 31, 2024 (SEC File No. 001-15911).</w:t>
        </w:r>
      </w:hyperlink>
    </w:p>
    <w:p>
      <w:pPr>
        <w:spacing w:after="0" w:line="162" w:lineRule="exact"/>
        <w:rPr>
          <w:sz w:val="20"/>
          <w:szCs w:val="20"/>
          <w:color w:val="auto"/>
        </w:rPr>
      </w:pPr>
    </w:p>
    <w:p>
      <w:pPr>
        <w:ind w:left="272"/>
        <w:spacing w:after="0"/>
        <w:tabs>
          <w:tab w:leader="none" w:pos="1072"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23.1+</w:t>
      </w:r>
      <w:r>
        <w:rPr>
          <w:sz w:val="20"/>
          <w:szCs w:val="20"/>
          <w:color w:val="auto"/>
        </w:rPr>
        <w:tab/>
      </w:r>
      <w:hyperlink r:id="rId73">
        <w:r>
          <w:rPr>
            <w:rFonts w:ascii="Times New Roman" w:cs="Times New Roman" w:eastAsia="Times New Roman" w:hAnsi="Times New Roman"/>
            <w:sz w:val="17"/>
            <w:szCs w:val="17"/>
            <w:u w:val="single" w:color="auto"/>
            <w:color w:val="0000EE"/>
          </w:rPr>
          <w:t>Consent of WithumSmith+Brown, PC, independent registered public accounting firm for the Company.</w:t>
        </w:r>
      </w:hyperlink>
    </w:p>
    <w:p>
      <w:pPr>
        <w:spacing w:after="0" w:line="225" w:lineRule="exact"/>
        <w:rPr>
          <w:sz w:val="20"/>
          <w:szCs w:val="20"/>
          <w:color w:val="auto"/>
        </w:rPr>
      </w:pPr>
    </w:p>
    <w:p>
      <w:pPr>
        <w:ind w:left="272"/>
        <w:spacing w:after="0"/>
        <w:tabs>
          <w:tab w:leader="none" w:pos="1072"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23.2+</w:t>
      </w:r>
      <w:r>
        <w:rPr>
          <w:sz w:val="20"/>
          <w:szCs w:val="20"/>
          <w:color w:val="auto"/>
        </w:rPr>
        <w:tab/>
      </w:r>
      <w:hyperlink r:id="rId29">
        <w:r>
          <w:rPr>
            <w:rFonts w:ascii="Times New Roman" w:cs="Times New Roman" w:eastAsia="Times New Roman" w:hAnsi="Times New Roman"/>
            <w:sz w:val="18"/>
            <w:szCs w:val="18"/>
            <w:u w:val="single" w:color="auto"/>
            <w:color w:val="0000EE"/>
          </w:rPr>
          <w:t>Consent of Covington &amp; Burling LLP (included in Exhibit 5.1).</w:t>
        </w:r>
      </w:hyperlink>
    </w:p>
    <w:p>
      <w:pPr>
        <w:spacing w:after="0" w:line="225" w:lineRule="exact"/>
        <w:rPr>
          <w:sz w:val="20"/>
          <w:szCs w:val="20"/>
          <w:color w:val="auto"/>
        </w:rPr>
      </w:pPr>
    </w:p>
    <w:p>
      <w:pPr>
        <w:ind w:left="332"/>
        <w:spacing w:after="0"/>
        <w:tabs>
          <w:tab w:leader="none" w:pos="1072"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EE"/>
        </w:rPr>
        <w:t>Power of Attorney (included on signature page hereto).</w:t>
      </w:r>
    </w:p>
    <w:p>
      <w:pPr>
        <w:spacing w:after="0" w:line="225" w:lineRule="exact"/>
        <w:rPr>
          <w:sz w:val="20"/>
          <w:szCs w:val="20"/>
          <w:color w:val="auto"/>
        </w:rPr>
      </w:pPr>
    </w:p>
    <w:p>
      <w:pPr>
        <w:ind w:left="292"/>
        <w:spacing w:after="0"/>
        <w:tabs>
          <w:tab w:leader="none" w:pos="1072"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74">
        <w:r>
          <w:rPr>
            <w:rFonts w:ascii="Times New Roman" w:cs="Times New Roman" w:eastAsia="Times New Roman" w:hAnsi="Times New Roman"/>
            <w:sz w:val="18"/>
            <w:szCs w:val="18"/>
            <w:u w:val="single" w:color="auto"/>
            <w:color w:val="0000EE"/>
          </w:rPr>
          <w:t>Filing fee table</w:t>
        </w:r>
      </w:hyperlink>
    </w:p>
    <w:p>
      <w:pPr>
        <w:spacing w:after="0" w:line="225" w:lineRule="exact"/>
        <w:rPr>
          <w:sz w:val="20"/>
          <w:szCs w:val="20"/>
          <w:color w:val="auto"/>
        </w:rPr>
      </w:pPr>
    </w:p>
    <w:p>
      <w:pPr>
        <w:ind w:left="1092" w:hanging="1092"/>
        <w:spacing w:after="0"/>
        <w:tabs>
          <w:tab w:leader="none" w:pos="109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rFonts w:ascii="Times New Roman" w:cs="Times New Roman" w:eastAsia="Times New Roman" w:hAnsi="Times New Roman"/>
          <w:sz w:val="18"/>
          <w:szCs w:val="18"/>
          <w:color w:val="auto"/>
        </w:rPr>
      </w:pPr>
    </w:p>
    <w:p>
      <w:pPr>
        <w:ind w:left="1092" w:hanging="1092"/>
        <w:spacing w:after="0" w:line="250" w:lineRule="auto"/>
        <w:tabs>
          <w:tab w:leader="none" w:pos="109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Exhibit have been omitted. The Company agrees to furnish a copy of the omitted schedules and exhibits to the Securities and Exchange Commission on a supplemental basis upon its request.</w:t>
      </w:r>
    </w:p>
    <w:p>
      <w:pPr>
        <w:spacing w:after="0" w:line="1" w:lineRule="exact"/>
        <w:rPr>
          <w:sz w:val="20"/>
          <w:szCs w:val="20"/>
          <w:color w:val="auto"/>
        </w:rPr>
      </w:pPr>
    </w:p>
    <w:p>
      <w:pPr>
        <w:ind w:left="1092" w:hanging="1092"/>
        <w:spacing w:after="0"/>
        <w:tabs>
          <w:tab w:leader="none" w:pos="10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information contained in this exhibit, marked by brackets and asterisks, has been omitted pursuant to Item 601(b)(10)</w:t>
      </w:r>
    </w:p>
    <w:p>
      <w:pPr>
        <w:spacing w:after="0" w:line="9" w:lineRule="exact"/>
        <w:rPr>
          <w:sz w:val="20"/>
          <w:szCs w:val="20"/>
          <w:color w:val="auto"/>
        </w:rPr>
      </w:pPr>
    </w:p>
    <w:p>
      <w:pPr>
        <w:ind w:left="1092" w:right="20"/>
        <w:spacing w:after="0" w:line="250" w:lineRule="auto"/>
        <w:rPr>
          <w:sz w:val="20"/>
          <w:szCs w:val="20"/>
          <w:color w:val="auto"/>
        </w:rPr>
      </w:pPr>
      <w:r>
        <w:rPr>
          <w:rFonts w:ascii="Times New Roman" w:cs="Times New Roman" w:eastAsia="Times New Roman" w:hAnsi="Times New Roman"/>
          <w:sz w:val="18"/>
          <w:szCs w:val="18"/>
          <w:color w:val="auto"/>
        </w:rPr>
        <w:t>(iv) of Regulation S-K because the information (i) is not material and (ii) is the type of information that the Company both customarily and actually treats as private and confidential.</w:t>
      </w:r>
    </w:p>
    <w:p>
      <w:pPr>
        <w:ind w:left="1092" w:hanging="1092"/>
        <w:spacing w:after="0"/>
        <w:tabs>
          <w:tab w:leader="none" w:pos="10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Amendment No. 1 to the registration statement to be signed on its behalf by the undersigned, thereunto duly authorized, in the City of Lawrenceville, State of New Jersey, on October 27, 2026.</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IMUNON,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R. Lindborg,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Stacy R. Lindborg, Ph.D.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KNOW ALL BY THESE PRESENTS</w:t>
      </w:r>
      <w:r>
        <w:rPr>
          <w:rFonts w:ascii="Times New Roman" w:cs="Times New Roman" w:eastAsia="Times New Roman" w:hAnsi="Times New Roman"/>
          <w:sz w:val="18"/>
          <w:szCs w:val="18"/>
          <w:color w:val="auto"/>
        </w:rPr>
        <w:t>, that each person whose signature appears below constitutes and appoints Stacy Lindborg, Josh Blacher, and Sara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Turken and each of them, as his or her true and lawful attorneys-in-fact and agents, each with the full power of substitution and resubstitution, for him or her and in his or her name, place or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and (iv) take any and all actions which may be necessary or appropriate to be done, as fully for all intents and purposes as he or she might or could do in person, hereby ratifying and confirming all that said attorney-in-fact and agent, or his substitute or substitutes, may lawfully do or cause to be done by virtue hereof.</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0"/>
                <w:szCs w:val="20"/>
                <w:color w:val="auto"/>
              </w:rPr>
            </w:pPr>
          </w:p>
        </w:tc>
        <w:tc>
          <w:tcPr>
            <w:tcW w:w="51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2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Stacy R. Lindborg, Ph.D.</w:t>
            </w:r>
          </w:p>
        </w:tc>
        <w:tc>
          <w:tcPr>
            <w:tcW w:w="240" w:type="dxa"/>
            <w:vAlign w:val="bottom"/>
          </w:tcPr>
          <w:p>
            <w:pPr>
              <w:spacing w:after="0"/>
              <w:rPr>
                <w:sz w:val="24"/>
                <w:szCs w:val="24"/>
                <w:color w:val="auto"/>
              </w:rPr>
            </w:pPr>
          </w:p>
        </w:tc>
        <w:tc>
          <w:tcPr>
            <w:tcW w:w="5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27, 2026</w:t>
            </w:r>
          </w:p>
        </w:tc>
      </w:tr>
      <w:tr>
        <w:trPr>
          <w:trHeight w:val="228"/>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Stacy R. Lindborg, Ph.D.</w:t>
            </w:r>
          </w:p>
        </w:tc>
        <w:tc>
          <w:tcPr>
            <w:tcW w:w="240" w:type="dxa"/>
            <w:vAlign w:val="bottom"/>
          </w:tcPr>
          <w:p>
            <w:pPr>
              <w:spacing w:after="0"/>
              <w:rPr>
                <w:sz w:val="19"/>
                <w:szCs w:val="19"/>
                <w:color w:val="auto"/>
              </w:rPr>
            </w:pPr>
          </w:p>
        </w:tc>
        <w:tc>
          <w:tcPr>
            <w:tcW w:w="5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 (Principal Executive Officer)</w:t>
            </w:r>
          </w:p>
        </w:tc>
        <w:tc>
          <w:tcPr>
            <w:tcW w:w="2800" w:type="dxa"/>
            <w:vAlign w:val="bottom"/>
          </w:tcPr>
          <w:p>
            <w:pPr>
              <w:spacing w:after="0"/>
              <w:rPr>
                <w:sz w:val="19"/>
                <w:szCs w:val="19"/>
                <w:color w:val="auto"/>
              </w:rPr>
            </w:pPr>
          </w:p>
        </w:tc>
      </w:tr>
      <w:tr>
        <w:trPr>
          <w:trHeight w:val="414"/>
        </w:trPr>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Josh Blacher</w:t>
            </w:r>
          </w:p>
        </w:tc>
        <w:tc>
          <w:tcPr>
            <w:tcW w:w="240" w:type="dxa"/>
            <w:vAlign w:val="bottom"/>
          </w:tcPr>
          <w:p>
            <w:pPr>
              <w:spacing w:after="0"/>
              <w:rPr>
                <w:sz w:val="24"/>
                <w:szCs w:val="24"/>
                <w:color w:val="auto"/>
              </w:rPr>
            </w:pPr>
          </w:p>
        </w:tc>
        <w:tc>
          <w:tcPr>
            <w:tcW w:w="5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27, 2026</w:t>
            </w:r>
          </w:p>
        </w:tc>
      </w:tr>
      <w:tr>
        <w:trPr>
          <w:trHeight w:val="228"/>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 Blacher</w:t>
            </w:r>
          </w:p>
        </w:tc>
        <w:tc>
          <w:tcPr>
            <w:tcW w:w="240" w:type="dxa"/>
            <w:vAlign w:val="bottom"/>
          </w:tcPr>
          <w:p>
            <w:pPr>
              <w:spacing w:after="0"/>
              <w:rPr>
                <w:sz w:val="19"/>
                <w:szCs w:val="19"/>
                <w:color w:val="auto"/>
              </w:rPr>
            </w:pPr>
          </w:p>
        </w:tc>
        <w:tc>
          <w:tcPr>
            <w:tcW w:w="5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800" w:type="dxa"/>
            <w:vAlign w:val="bottom"/>
          </w:tcPr>
          <w:p>
            <w:pPr>
              <w:spacing w:after="0"/>
              <w:rPr>
                <w:sz w:val="19"/>
                <w:szCs w:val="19"/>
                <w:color w:val="auto"/>
              </w:rPr>
            </w:pPr>
          </w:p>
        </w:tc>
      </w:tr>
      <w:tr>
        <w:trPr>
          <w:trHeight w:val="414"/>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Executive Chairman and 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27, 2026</w:t>
            </w:r>
          </w:p>
        </w:tc>
      </w:tr>
      <w:tr>
        <w:trPr>
          <w:trHeight w:val="228"/>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H. Tardugno</w:t>
            </w:r>
          </w:p>
        </w:tc>
        <w:tc>
          <w:tcPr>
            <w:tcW w:w="2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27, 2026</w:t>
            </w:r>
          </w:p>
        </w:tc>
      </w:tr>
      <w:tr>
        <w:trPr>
          <w:trHeight w:val="228"/>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Frederick J. Fritz</w:t>
            </w:r>
          </w:p>
        </w:tc>
        <w:tc>
          <w:tcPr>
            <w:tcW w:w="2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27, 2026</w:t>
            </w:r>
          </w:p>
        </w:tc>
      </w:tr>
      <w:tr>
        <w:trPr>
          <w:trHeight w:val="228"/>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E. Dentzer</w:t>
            </w:r>
          </w:p>
        </w:tc>
        <w:tc>
          <w:tcPr>
            <w:tcW w:w="2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27, 2026</w:t>
            </w:r>
          </w:p>
        </w:tc>
      </w:tr>
      <w:tr>
        <w:trPr>
          <w:trHeight w:val="228"/>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Braun, Ph.D.</w:t>
            </w:r>
          </w:p>
        </w:tc>
        <w:tc>
          <w:tcPr>
            <w:tcW w:w="2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27, 2026</w:t>
            </w:r>
          </w:p>
        </w:tc>
      </w:tr>
      <w:tr>
        <w:trPr>
          <w:trHeight w:val="228"/>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Pellizzari, J.D.</w:t>
            </w:r>
          </w:p>
        </w:tc>
        <w:tc>
          <w:tcPr>
            <w:tcW w:w="2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R. Lindborg, Ph.D.</w:t>
            </w:r>
          </w:p>
        </w:tc>
        <w:tc>
          <w:tcPr>
            <w:tcW w:w="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2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Stacy R. Lindborg, Ph.D.</w:t>
            </w:r>
          </w:p>
        </w:tc>
        <w:tc>
          <w:tcPr>
            <w:tcW w:w="240" w:type="dxa"/>
            <w:vAlign w:val="bottom"/>
            <w:tcBorders>
              <w:top w:val="single" w:sz="8" w:color="auto"/>
            </w:tcBorders>
          </w:tcPr>
          <w:p>
            <w:pPr>
              <w:spacing w:after="0"/>
              <w:rPr>
                <w:sz w:val="16"/>
                <w:szCs w:val="16"/>
                <w:color w:val="auto"/>
              </w:rPr>
            </w:pPr>
          </w:p>
        </w:tc>
        <w:tc>
          <w:tcPr>
            <w:tcW w:w="2560" w:type="dxa"/>
            <w:vAlign w:val="bottom"/>
            <w:tcBorders>
              <w:top w:val="single" w:sz="8" w:color="auto"/>
            </w:tcBorders>
          </w:tcPr>
          <w:p>
            <w:pPr>
              <w:spacing w:after="0"/>
              <w:rPr>
                <w:sz w:val="16"/>
                <w:szCs w:val="16"/>
                <w:color w:val="auto"/>
              </w:rPr>
            </w:pPr>
          </w:p>
        </w:tc>
        <w:tc>
          <w:tcPr>
            <w:tcW w:w="2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2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32"/>
        </w:trPr>
        <w:tc>
          <w:tcPr>
            <w:tcW w:w="3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AGENCY AGREEMENT</w:t>
      </w:r>
    </w:p>
    <w:p>
      <w:pPr>
        <w:spacing w:after="0" w:line="229"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7"/>
          <w:szCs w:val="17"/>
          <w:color w:val="auto"/>
        </w:rPr>
        <w:t>____,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Park Avenue, 16th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herein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Imunon,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agrees to sell up to an aggregate of ___________units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each Unit consisting of one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common stock, par value $0.01 per</w:t>
      </w:r>
    </w:p>
    <w:p>
      <w:pPr>
        <w:jc w:val="both"/>
        <w:spacing w:after="0" w:line="265" w:lineRule="auto"/>
        <w:rPr>
          <w:sz w:val="20"/>
          <w:szCs w:val="20"/>
          <w:color w:val="auto"/>
        </w:rPr>
      </w:pPr>
      <w:r>
        <w:rPr>
          <w:rFonts w:ascii="Times New Roman" w:cs="Times New Roman" w:eastAsia="Times New Roman" w:hAnsi="Times New Roman"/>
          <w:sz w:val="17"/>
          <w:szCs w:val="17"/>
          <w:color w:val="auto"/>
        </w:rPr>
        <w:t>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(or prefunded common stock purchase warrants to purchase shares of Common Stock in lieu of Shares (the “</w:t>
      </w:r>
      <w:r>
        <w:rPr>
          <w:rFonts w:ascii="Times New Roman" w:cs="Times New Roman" w:eastAsia="Times New Roman" w:hAnsi="Times New Roman"/>
          <w:sz w:val="17"/>
          <w:szCs w:val="17"/>
          <w:u w:val="single" w:color="auto"/>
          <w:color w:val="auto"/>
        </w:rPr>
        <w:t>Prefunded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a Tranche A common stock purchase warrant (the “</w:t>
      </w:r>
      <w:r>
        <w:rPr>
          <w:rFonts w:ascii="Times New Roman" w:cs="Times New Roman" w:eastAsia="Times New Roman" w:hAnsi="Times New Roman"/>
          <w:sz w:val="17"/>
          <w:szCs w:val="17"/>
          <w:u w:val="single" w:color="auto"/>
          <w:color w:val="auto"/>
        </w:rPr>
        <w:t>Tranche A Warrants</w:t>
      </w:r>
      <w:r>
        <w:rPr>
          <w:rFonts w:ascii="Times New Roman" w:cs="Times New Roman" w:eastAsia="Times New Roman" w:hAnsi="Times New Roman"/>
          <w:sz w:val="17"/>
          <w:szCs w:val="17"/>
          <w:color w:val="auto"/>
        </w:rPr>
        <w:t>”) to purchase one-half of one share of Common Stock or a warrant in lieu thereof to purchase one-half of one share of Common Stock (the “</w:t>
      </w:r>
      <w:r>
        <w:rPr>
          <w:rFonts w:ascii="Times New Roman" w:cs="Times New Roman" w:eastAsia="Times New Roman" w:hAnsi="Times New Roman"/>
          <w:sz w:val="17"/>
          <w:szCs w:val="17"/>
          <w:u w:val="single" w:color="auto"/>
          <w:color w:val="auto"/>
        </w:rPr>
        <w:t>Tranche A Exchange Warrants</w:t>
      </w:r>
      <w:r>
        <w:rPr>
          <w:rFonts w:ascii="Times New Roman" w:cs="Times New Roman" w:eastAsia="Times New Roman" w:hAnsi="Times New Roman"/>
          <w:sz w:val="17"/>
          <w:szCs w:val="17"/>
          <w:color w:val="auto"/>
        </w:rPr>
        <w:t>”), a Tranche B common stock purchase warrant (the “</w:t>
      </w:r>
      <w:r>
        <w:rPr>
          <w:rFonts w:ascii="Times New Roman" w:cs="Times New Roman" w:eastAsia="Times New Roman" w:hAnsi="Times New Roman"/>
          <w:sz w:val="17"/>
          <w:szCs w:val="17"/>
          <w:u w:val="single" w:color="auto"/>
          <w:color w:val="auto"/>
        </w:rPr>
        <w:t>Tranche B Warrants</w:t>
      </w:r>
      <w:r>
        <w:rPr>
          <w:rFonts w:ascii="Times New Roman" w:cs="Times New Roman" w:eastAsia="Times New Roman" w:hAnsi="Times New Roman"/>
          <w:sz w:val="17"/>
          <w:szCs w:val="17"/>
          <w:color w:val="auto"/>
        </w:rPr>
        <w:t>”) to purchase one share of Common Stock or a warrant in lieu thereof to purchase one share of Common Stock (the “</w:t>
      </w:r>
      <w:r>
        <w:rPr>
          <w:rFonts w:ascii="Times New Roman" w:cs="Times New Roman" w:eastAsia="Times New Roman" w:hAnsi="Times New Roman"/>
          <w:sz w:val="17"/>
          <w:szCs w:val="17"/>
          <w:u w:val="single" w:color="auto"/>
          <w:color w:val="auto"/>
        </w:rPr>
        <w:t>Tranche 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Exchange Warrants</w:t>
      </w:r>
      <w:r>
        <w:rPr>
          <w:rFonts w:ascii="Times New Roman" w:cs="Times New Roman" w:eastAsia="Times New Roman" w:hAnsi="Times New Roman"/>
          <w:sz w:val="17"/>
          <w:szCs w:val="17"/>
          <w:color w:val="auto"/>
        </w:rPr>
        <w:t>”), a Tranche C common stock purchase warrant (the “</w:t>
      </w:r>
      <w:r>
        <w:rPr>
          <w:rFonts w:ascii="Times New Roman" w:cs="Times New Roman" w:eastAsia="Times New Roman" w:hAnsi="Times New Roman"/>
          <w:sz w:val="17"/>
          <w:szCs w:val="17"/>
          <w:u w:val="single" w:color="auto"/>
          <w:color w:val="auto"/>
        </w:rPr>
        <w:t>Tranche C Warrants</w:t>
      </w:r>
      <w:r>
        <w:rPr>
          <w:rFonts w:ascii="Times New Roman" w:cs="Times New Roman" w:eastAsia="Times New Roman" w:hAnsi="Times New Roman"/>
          <w:sz w:val="17"/>
          <w:szCs w:val="17"/>
          <w:color w:val="auto"/>
        </w:rPr>
        <w:t>”) to purchase one share of Common Stock or a warrant in lieu thereof to purchase one share of Common Stock (the “</w:t>
      </w:r>
      <w:r>
        <w:rPr>
          <w:rFonts w:ascii="Times New Roman" w:cs="Times New Roman" w:eastAsia="Times New Roman" w:hAnsi="Times New Roman"/>
          <w:sz w:val="17"/>
          <w:szCs w:val="17"/>
          <w:u w:val="single" w:color="auto"/>
          <w:color w:val="auto"/>
        </w:rPr>
        <w:t>Tranche C Exchange Warrants</w:t>
      </w:r>
      <w:r>
        <w:rPr>
          <w:rFonts w:ascii="Times New Roman" w:cs="Times New Roman" w:eastAsia="Times New Roman" w:hAnsi="Times New Roman"/>
          <w:sz w:val="17"/>
          <w:szCs w:val="17"/>
          <w:color w:val="auto"/>
        </w:rPr>
        <w:t>”) and a Tranche D common stock purchase warrant (the “</w:t>
      </w:r>
      <w:r>
        <w:rPr>
          <w:rFonts w:ascii="Times New Roman" w:cs="Times New Roman" w:eastAsia="Times New Roman" w:hAnsi="Times New Roman"/>
          <w:sz w:val="17"/>
          <w:szCs w:val="17"/>
          <w:u w:val="single" w:color="auto"/>
          <w:color w:val="auto"/>
        </w:rPr>
        <w:t>Tranche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 Warrants</w:t>
      </w:r>
      <w:r>
        <w:rPr>
          <w:rFonts w:ascii="Times New Roman" w:cs="Times New Roman" w:eastAsia="Times New Roman" w:hAnsi="Times New Roman"/>
          <w:sz w:val="17"/>
          <w:szCs w:val="17"/>
          <w:color w:val="auto"/>
        </w:rPr>
        <w:t xml:space="preserve">” and, together with the Tranche A Warrants, the Tranche B Warrants and the Tranche C Warrants, the “Common </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to purchase one share of Common Stock or a warrant in lieu thereof to purchase one share of Common Stock (the “</w:t>
      </w:r>
      <w:r>
        <w:rPr>
          <w:rFonts w:ascii="Times New Roman" w:cs="Times New Roman" w:eastAsia="Times New Roman" w:hAnsi="Times New Roman"/>
          <w:sz w:val="17"/>
          <w:szCs w:val="17"/>
          <w:u w:val="single" w:color="auto"/>
          <w:color w:val="auto"/>
        </w:rPr>
        <w:t>Tranche D Exchange Warrants</w:t>
      </w:r>
      <w:r>
        <w:rPr>
          <w:rFonts w:ascii="Times New Roman" w:cs="Times New Roman" w:eastAsia="Times New Roman" w:hAnsi="Times New Roman"/>
          <w:sz w:val="17"/>
          <w:szCs w:val="17"/>
          <w:color w:val="auto"/>
        </w:rPr>
        <w:t xml:space="preserve">” and, together with the Tranche A Exchange Warrants, the Tranche B Exchange Warrants and the Tranche C Exchange Warrants, the “Exchange </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(the shares of Common Stock underlying the Prefunded Warrants, the Exchange Warrants and the Warrants, the “</w:t>
      </w:r>
      <w:r>
        <w:rPr>
          <w:rFonts w:ascii="Times New Roman" w:cs="Times New Roman" w:eastAsia="Times New Roman" w:hAnsi="Times New Roman"/>
          <w:sz w:val="17"/>
          <w:szCs w:val="17"/>
          <w:u w:val="single" w:color="auto"/>
          <w:color w:val="auto"/>
        </w:rPr>
        <w:t>Warrant Shares</w:t>
      </w:r>
      <w:r>
        <w:rPr>
          <w:rFonts w:ascii="Times New Roman" w:cs="Times New Roman" w:eastAsia="Times New Roman" w:hAnsi="Times New Roman"/>
          <w:sz w:val="17"/>
          <w:szCs w:val="17"/>
          <w:color w:val="auto"/>
        </w:rPr>
        <w:t>”, and the Shares, the Prefunded Warrants, the Warrants and the Warrant Shares, the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directly to various investors (each, an “</w:t>
      </w:r>
      <w:r>
        <w:rPr>
          <w:rFonts w:ascii="Times New Roman" w:cs="Times New Roman" w:eastAsia="Times New Roman" w:hAnsi="Times New Roman"/>
          <w:sz w:val="17"/>
          <w:szCs w:val="17"/>
          <w:u w:val="single" w:color="auto"/>
          <w:color w:val="auto"/>
        </w:rPr>
        <w:t>Investor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Investors</w:t>
      </w:r>
      <w:r>
        <w:rPr>
          <w:rFonts w:ascii="Times New Roman" w:cs="Times New Roman" w:eastAsia="Times New Roman" w:hAnsi="Times New Roman"/>
          <w:sz w:val="17"/>
          <w:szCs w:val="17"/>
          <w:color w:val="auto"/>
        </w:rPr>
        <w:t>”) through Maxim Group LLC (the “</w:t>
      </w:r>
      <w:r>
        <w:rPr>
          <w:rFonts w:ascii="Times New Roman" w:cs="Times New Roman" w:eastAsia="Times New Roman" w:hAnsi="Times New Roman"/>
          <w:sz w:val="17"/>
          <w:szCs w:val="17"/>
          <w:u w:val="single" w:color="auto"/>
          <w:color w:val="auto"/>
        </w:rPr>
        <w:t>Placement Agent</w:t>
      </w:r>
      <w:r>
        <w:rPr>
          <w:rFonts w:ascii="Times New Roman" w:cs="Times New Roman" w:eastAsia="Times New Roman" w:hAnsi="Times New Roman"/>
          <w:sz w:val="17"/>
          <w:szCs w:val="17"/>
          <w:color w:val="auto"/>
        </w:rPr>
        <w:t>”) as placement agent. The documents executed and delivered by the Company and the Investors in connection with the Offering (as defined below), including, without limitation, a securities purchase agreement (the “</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shall be collectively referred to herein as the “</w:t>
      </w:r>
      <w:r>
        <w:rPr>
          <w:rFonts w:ascii="Times New Roman" w:cs="Times New Roman" w:eastAsia="Times New Roman" w:hAnsi="Times New Roman"/>
          <w:sz w:val="17"/>
          <w:szCs w:val="17"/>
          <w:u w:val="single" w:color="auto"/>
          <w:color w:val="auto"/>
        </w:rPr>
        <w:t>Transaction Documents</w:t>
      </w:r>
      <w:r>
        <w:rPr>
          <w:rFonts w:ascii="Times New Roman" w:cs="Times New Roman" w:eastAsia="Times New Roman" w:hAnsi="Times New Roman"/>
          <w:sz w:val="17"/>
          <w:szCs w:val="17"/>
          <w:color w:val="auto"/>
        </w:rPr>
        <w:t>.” The purchase price to the Investors is $_____ per Unit (the “</w:t>
      </w:r>
      <w:r>
        <w:rPr>
          <w:rFonts w:ascii="Times New Roman" w:cs="Times New Roman" w:eastAsia="Times New Roman" w:hAnsi="Times New Roman"/>
          <w:sz w:val="17"/>
          <w:szCs w:val="17"/>
          <w:u w:val="single" w:color="auto"/>
          <w:color w:val="auto"/>
        </w:rPr>
        <w:t>Per Unit Purchase Price</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provided that the purchase price per Prefunded Warrant shall be the Per Unit Purchase Price minus $0.0001. The Placement Agent may retain other brokers or dealers to act as sub-agents or selected-dealers on its behalf in connection with the Offering. Terms that are not defined herein shall have the meanings ascribed to them in the Purchase Agreement.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confirms its agreement with the Placement Agent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Agreement to Act as Placement Agent.</w:t>
      </w:r>
    </w:p>
    <w:p>
      <w:pPr>
        <w:spacing w:after="0" w:line="229" w:lineRule="exact"/>
        <w:rPr>
          <w:sz w:val="20"/>
          <w:szCs w:val="20"/>
          <w:color w:val="auto"/>
        </w:rPr>
      </w:pPr>
    </w:p>
    <w:p>
      <w:pPr>
        <w:jc w:val="both"/>
        <w:ind w:left="660" w:firstLine="644"/>
        <w:spacing w:after="0" w:line="252" w:lineRule="auto"/>
        <w:tabs>
          <w:tab w:leader="none" w:pos="15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On the basis of the representations, warranties and agreements of the Company herein contained, and subject to all the terms and conditions of this Agreement, the Placement Agent shall be the exclusive placement agent in connection with the offering and sale by the Company of the Securities pursuant to the Company’s registration statement on Form S-1 registering the Securities (and including any registration statement prepared and filed by the Company in accordance with Rule 462(b) pursuant to the Securities Act)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with the terms of such offering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to be subject to market conditions and negotiations between the Company, the Placement Agent and the prospective Investors. The Placement Agent will act on a reasonable best efforts basis and the Company agrees and acknowledges that there is no guarantee of the successful placement of the Securities, or any portion thereof, in the prospective Offering. Under no circumstances will the Placement Agent or any of its “Affiliates” (as defined below) be obligated to underwrite or purchase any of the Securities for its own account or otherwise provide any financing. The Placement Agent shall act solely as the Company’s agent and not as principal. The Placement Agent shall have no authority to bind the Company with respect to any prospective offer to purchase Securities and the Company shall have the sole right to accept offers to purchase Securities and may reject any such offer, in whole or in part. Subject to the terms and conditions hereof, payment of the purchase price for, and delivery of, the Securities shall be made at one or more closings (each a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and the date on which each Closing occurs, a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Closing of the issuance of the Shares and Common Warrants shall occur via “Delivery Versus Payment”, i.e., on the Closing Date, the Company shall issue the Shares and Common Warrants directly to the account designated by the Placement Agent and, upon receipt of such Shares and Common Warrants , the Placement Agent shall electronically deliver such Shares and Common Warrants and Pre-funded warrants, if any, to the applicable Investor and payment shall be made by the Placement Agent (or its clearing firm) by wire transfer to the Company. The Pre-Funded Warrants, if any, shall be delivered by the Company to the applicable Investor against payment therefor. Warrant Shares and Exchange Warrants shall be delivered only upon exercise of the Warrants in accordance with their terms and the Purchase Agreement. As compensation for services rendered, on each Closing Date, the Company shall pay to the Placement Agent the fees and expenses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ind w:left="180" w:right="20" w:firstLine="652"/>
        <w:spacing w:after="0" w:line="282" w:lineRule="auto"/>
        <w:tabs>
          <w:tab w:leader="none" w:pos="104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Placement Agent a cash fee equal to 7.0% of the gross proceeds received by the Company from the sale of the Securities at each closing of the Offering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09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 will be entitled, without duplication, to a warrant solicitation fee equal to 7.0% of the gross proceeds of any exercise of Warrants issued to Investors in the Offering.</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15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agrees to reimburse Placement Agent’s offering-related legal expenses up to a maximum of $125,000, less the Advance as described in the Engagement Letter (defined below), payable immediately upon the Closing of the Offering.</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1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issue such number of Common Stock purchase warrants (the “</w:t>
      </w:r>
      <w:r>
        <w:rPr>
          <w:rFonts w:ascii="Times New Roman" w:cs="Times New Roman" w:eastAsia="Times New Roman" w:hAnsi="Times New Roman"/>
          <w:sz w:val="18"/>
          <w:szCs w:val="18"/>
          <w:u w:val="single" w:color="auto"/>
          <w:color w:val="auto"/>
        </w:rPr>
        <w:t>Placement Agent Warrants</w:t>
      </w:r>
      <w:r>
        <w:rPr>
          <w:rFonts w:ascii="Times New Roman" w:cs="Times New Roman" w:eastAsia="Times New Roman" w:hAnsi="Times New Roman"/>
          <w:sz w:val="18"/>
          <w:szCs w:val="18"/>
          <w:color w:val="auto"/>
        </w:rPr>
        <w:t>”) to the Placement Agent or its designees to purchase shares of Common Stock equal to 5.0% of the aggregate number of shares of Common Stock and Pre-Funded Warrants sold in the base portion of the Offering on such Closing Date (including, for the avoidance of doubt, the shares of Common Stock underlying any Pre-Funded Warrants issued in the base portion of the Offering, but excluding any securities issued pursuant to the exercise of any of the Common Warrants or Exchange Warrants).</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08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 Warrants shall have an exercise price equal to 110% of the Per Unit Purchase Price, have an expiration date of 5 years after the effective date of the Registration Statement and be in a form as agreed upon between the Company and the Placement Agent. The Placement Agent Warrants shall be subject to a lock-up period for 180 days from the commencement of sales of the Offering except as permitted by Financial Industry Regulatory Authority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Rule 5110(e)(2).</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Placement Agent’s exclusive engagement shall be as set forth in the Engagement Agreement (as defined below). Notwithstanding anything to the contrary contained herein, the provisions concerning confidentiality, indemnification and contribution contained herein and the Company’s obligations contained in the indemnification provisions will survive any expiration or termination of this Agreement, and the Company’s obligation to pay fees actually earned and payable and to reimburse expenses actually incurred and reimbursable pursuant to Section 1 hereof and which are permitted to be reimbursed under FINRA Rule 5110(g)(4)(A), will survive any expiration or termination of this Agreement. Nothing in this Agreement shall be construed to limit the ability of the Placement Agent, its Affiliates or the Company to pursue, investigate, analyze, invest in, or engage in investment banking, financial advisory or any other business relationship with Persons (as defined below) other than the Placement Agent or the Company, respectively. As used herein (i) “Persons” means an individual or corporation, partnership, trust, incorporated or unincorporated association, joint venture, limited liability company, joint stock company, government (or an agency or subdivision thereof) or other entity of any kind and (ii) “Affiliate” means any Person that, directly or indirectly through one or more intermediaries, controls or is controlled by or is under common control with a Person as such terms are used in and construed under Rule 405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0" w:name="page11"/>
    <w:bookmarkEnd w:id="10"/>
    <w:p>
      <w:pPr>
        <w:spacing w:after="0" w:line="286" w:lineRule="auto"/>
        <w:rPr>
          <w:sz w:val="20"/>
          <w:szCs w:val="20"/>
          <w:color w:val="auto"/>
        </w:rPr>
      </w:pPr>
      <w:r>
        <w:rPr>
          <w:rFonts w:ascii="Times New Roman" w:cs="Times New Roman" w:eastAsia="Times New Roman" w:hAnsi="Times New Roman"/>
          <w:sz w:val="18"/>
          <w:szCs w:val="18"/>
          <w:b w:val="1"/>
          <w:bCs w:val="1"/>
          <w:color w:val="auto"/>
        </w:rPr>
        <w:t>Section 2. Representations, Warranties and Covenants of the Company</w:t>
      </w:r>
      <w:r>
        <w:rPr>
          <w:rFonts w:ascii="Times New Roman" w:cs="Times New Roman" w:eastAsia="Times New Roman" w:hAnsi="Times New Roman"/>
          <w:sz w:val="18"/>
          <w:szCs w:val="18"/>
          <w:color w:val="auto"/>
        </w:rPr>
        <w:t>. The Company hereby represents, warrants and covenants to the Placement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as of the date hereof, and as of each Closing Date, as follows:</w:t>
      </w:r>
    </w:p>
    <w:p>
      <w:pPr>
        <w:spacing w:after="0" w:line="159" w:lineRule="exact"/>
        <w:rPr>
          <w:sz w:val="20"/>
          <w:szCs w:val="20"/>
          <w:color w:val="auto"/>
        </w:rPr>
      </w:pPr>
    </w:p>
    <w:p>
      <w:pPr>
        <w:jc w:val="both"/>
        <w:ind w:left="660" w:firstLine="644"/>
        <w:spacing w:after="0" w:line="251" w:lineRule="auto"/>
        <w:tabs>
          <w:tab w:leader="none" w:pos="15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Filings</w:t>
      </w:r>
      <w:r>
        <w:rPr>
          <w:rFonts w:ascii="Times New Roman" w:cs="Times New Roman" w:eastAsia="Times New Roman" w:hAnsi="Times New Roman"/>
          <w:sz w:val="18"/>
          <w:szCs w:val="18"/>
          <w:color w:val="auto"/>
        </w:rPr>
        <w:t>. The Company has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 Registration Statement under the Securities Act, which was filed on October 26, 2026, as amended or supplemented, and declared effective on ______, 2026 for the registration of the Securities under the Securities Act. Following the determination of pricing among the Company and the prospective Investors introduced to the Company by Placement Agent, the Company will file with the Commission pursuant to Rules 430B and 424(b) under the Securities Act, and the rules and regulations (the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of the Commission promulgated thereunder, a final prospectus relating to the placement of the Securities, their respective pricings and the plan of distribution thereof and will advise the Placement Agent of all further information (financial and other) with respect to the Company required to be set forth therein. Such prospectus in the form in which it appears in the Registration Statement at the time of effectiveness is hereinafter called the “</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and the final prospectus, in the form in which it will be filed with the Commission pursuant to Rules 430B and/or 424(b) (including the Preliminary Prospectus as it may be amended or supplemented) is hereinafter called the “</w:t>
      </w:r>
      <w:r>
        <w:rPr>
          <w:rFonts w:ascii="Times New Roman" w:cs="Times New Roman" w:eastAsia="Times New Roman" w:hAnsi="Times New Roman"/>
          <w:sz w:val="18"/>
          <w:szCs w:val="18"/>
          <w:u w:val="single" w:color="auto"/>
          <w:color w:val="auto"/>
        </w:rPr>
        <w:t>Final Prospectus</w:t>
      </w:r>
      <w:r>
        <w:rPr>
          <w:rFonts w:ascii="Times New Roman" w:cs="Times New Roman" w:eastAsia="Times New Roman" w:hAnsi="Times New Roman"/>
          <w:sz w:val="18"/>
          <w:szCs w:val="18"/>
          <w:color w:val="auto"/>
        </w:rPr>
        <w:t>.” The Registration Statement at the time it originally became effective is hereinafter called the “</w:t>
      </w:r>
      <w:r>
        <w:rPr>
          <w:rFonts w:ascii="Times New Roman" w:cs="Times New Roman" w:eastAsia="Times New Roman" w:hAnsi="Times New Roman"/>
          <w:sz w:val="18"/>
          <w:szCs w:val="18"/>
          <w:u w:val="single" w:color="auto"/>
          <w:color w:val="auto"/>
        </w:rPr>
        <w:t>Original Registration Statement</w:t>
      </w:r>
      <w:r>
        <w:rPr>
          <w:rFonts w:ascii="Times New Roman" w:cs="Times New Roman" w:eastAsia="Times New Roman" w:hAnsi="Times New Roman"/>
          <w:sz w:val="18"/>
          <w:szCs w:val="18"/>
          <w:color w:val="auto"/>
        </w:rPr>
        <w:t>.” Any reference in this Agreement to the Registration Statement, the Original Registration Statement, the Preliminary Prospectus or the Final Prospectus shall be deemed to refer to and include the documents incorporated by reference therein (the “</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if any, which were or are filed under the Securities Exchange Act of 1934, as amended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on or before the applicable date of such document; and any reference in this Agreement to the terms “amend,” “amendment” or “supplement” with respect to the Registration Statement, the Original Registration Statement, the Preliminary Prospectus or the Final Prospectus shall be deemed to refer to and include the filing of any document under the Exchange Act after the date of this Agreement, or the issue date of the Preliminary Prospectus or the Final Prospectus, as the case may be, deemed to be incorporated therein by reference. All references in this Agreement to financial statements and schedules and other information which is “contained,” “included,” “described,” “referenced,” “set forth” or “stated” in the Registration Statement, the Preliminary Prospectus or the Final Prospectus (and all other references of like import) shall be deemed to mean and include all such financial statements and schedules and other information which is or is deemed to be incorporated by reference in the Registration Statement, the Preliminary Prospectus or the Final Prospectus, as the case may be. As used in this paragraph and elsewhere in this Agreement, “</w:t>
      </w:r>
      <w:r>
        <w:rPr>
          <w:rFonts w:ascii="Times New Roman" w:cs="Times New Roman" w:eastAsia="Times New Roman" w:hAnsi="Times New Roman"/>
          <w:sz w:val="18"/>
          <w:szCs w:val="18"/>
          <w:u w:val="single" w:color="auto"/>
          <w:color w:val="auto"/>
        </w:rPr>
        <w:t>Time of Sale Disclosure Package</w:t>
      </w:r>
      <w:r>
        <w:rPr>
          <w:rFonts w:ascii="Times New Roman" w:cs="Times New Roman" w:eastAsia="Times New Roman" w:hAnsi="Times New Roman"/>
          <w:sz w:val="18"/>
          <w:szCs w:val="18"/>
          <w:color w:val="auto"/>
        </w:rPr>
        <w:t>” means the Preliminary Prospectus, the Purchase Agreement, the final terms of the Offering provided to the Investors (orally or in writing) and any issuer free writing prospectus as defined in Rule 433 of the Securities Act (each, an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if any, that the parties hereto shall hereafter expressly agree in writing to treat as part of the Time of Sale Disclosure Package. The term “</w:t>
      </w:r>
      <w:r>
        <w:rPr>
          <w:rFonts w:ascii="Times New Roman" w:cs="Times New Roman" w:eastAsia="Times New Roman" w:hAnsi="Times New Roman"/>
          <w:sz w:val="18"/>
          <w:szCs w:val="18"/>
          <w:u w:val="single" w:color="auto"/>
          <w:color w:val="auto"/>
        </w:rPr>
        <w:t>any Prospectus</w:t>
      </w:r>
      <w:r>
        <w:rPr>
          <w:rFonts w:ascii="Times New Roman" w:cs="Times New Roman" w:eastAsia="Times New Roman" w:hAnsi="Times New Roman"/>
          <w:sz w:val="18"/>
          <w:szCs w:val="18"/>
          <w:color w:val="auto"/>
        </w:rPr>
        <w:t>” shall mean, as the context requires, the Preliminary Prospectus, the Final Prospectus, and any supplement to either thereof. The Company has not received any notice that the Commission has issued or intends to issue a stop order suspending the effectiveness of the Registration Statement or the use of the Preliminary Prospectus or any prospectus supplement or intends to commence a proceeding for any such purpose.</w:t>
      </w:r>
    </w:p>
    <w:p>
      <w:pPr>
        <w:spacing w:after="0" w:line="202"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Assurances</w:t>
      </w:r>
      <w:r>
        <w:rPr>
          <w:rFonts w:ascii="Times New Roman" w:cs="Times New Roman" w:eastAsia="Times New Roman" w:hAnsi="Times New Roman"/>
          <w:sz w:val="18"/>
          <w:szCs w:val="18"/>
          <w:color w:val="auto"/>
        </w:rPr>
        <w:t>. The Original Registration Statement, as amended, (and any further documents filed with the Commission in connection with this Offering) contains all exhibits and schedules as required by the Securities Act. Each of the Registration Statement and any post-effective amendment thereto, at the time it became effective, complied in all material respects with the Securities Act and the applicable Rules and Regulations and did not contain any untrue statement of a material fact or omit to state a material fact required to be stated therein or necessary to make the statements therein not misleading. The Final Prospectus, as of its date, will comply in all material respects with the Securities Act and the applicable Rules and Regulations. The Final Prospectus, as amended or supplemented, will not contain as of the date thereof any untrue statement of a material fact or omit to state a material fact necessary in order to make the statements therein, in light of the circumstances under which they were made, not misleading. The Incorporated Documents, when they were filed with the Commission, conformed in all material respects to the requirements of the Exchange Act and the applicable Rules and Regulations promulgated thereunder, and none of such documents, when they were filed with the Commission, contained any untrue statement of a material fact or omitted to state a material fact necessary to make the statements therein (with respect to Incorporated Documents incorporated by reference in the Final Prospectus), in light of the circumstances under which they were made not misleading. No post-effective amendment to the Registration Statement reflecting any facts or events arising after the date thereof which represent, individually or in the aggregate, a fundamental change in the information set forth therein is required to be filed with the Commission. Except for this Agreement and the Transaction Documents, there are no documents required to be filed with the Commission in connection with the transaction contemplated hereby that (x) have not been filed as required pursuant to the Securities Act or (y) will not be filed within the requisite time period. Except for this Agreement and the Transaction Documents, there are no contracts or other documents required to be described in the Final Prospectus, or to be filed as exhibits or schedules to the Registration Statement, which have not been described or filed as required.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both"/>
        <w:ind w:left="-460" w:firstLine="644"/>
        <w:spacing w:after="0" w:line="282" w:lineRule="auto"/>
        <w:tabs>
          <w:tab w:leader="none" w:pos="4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Materials</w:t>
      </w:r>
      <w:r>
        <w:rPr>
          <w:rFonts w:ascii="Times New Roman" w:cs="Times New Roman" w:eastAsia="Times New Roman" w:hAnsi="Times New Roman"/>
          <w:sz w:val="18"/>
          <w:szCs w:val="18"/>
          <w:color w:val="auto"/>
        </w:rPr>
        <w:t>. Neither the Company nor any of its directors and officers has distributed and none of them will distribute, prior to each Closing Date, any offering material in connection with the offering and sale of the Securities other than the Time of Sale Disclosure Package.</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the Time of Sale Disclosure Package and otherwise to carry out its obligations hereunder and thereunder. The execution and delivery of each of this Agreement by the Company and the consummation by it of the transactions contemplated hereby and thereby have been duly authorized by all necessary action on the part of the Company and no further action is required by the Company, the Company’s Board of Directors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or the Company’s stockholders in connection therewith other than in connection with the Required Approvals (as defined in the Purchase Agreement). This Agreement has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9" w:lineRule="auto"/>
        <w:tabs>
          <w:tab w:leader="none" w:pos="45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The execution, delivery and performance by the Company of this Agreement and the transactions contemplated pursuant to the Time of Sale Disclosure Package, the issuance and sale of the Securities and the consummation by it of the transactions contemplated hereby and thereby to which it is a party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have or reasonably be expected to result in a Material Adverse Effect.</w:t>
      </w:r>
    </w:p>
    <w:p>
      <w:pPr>
        <w:spacing w:after="0" w:line="178" w:lineRule="exact"/>
        <w:rPr>
          <w:rFonts w:ascii="Times New Roman" w:cs="Times New Roman" w:eastAsia="Times New Roman" w:hAnsi="Times New Roman"/>
          <w:sz w:val="17"/>
          <w:szCs w:val="17"/>
          <w:color w:val="auto"/>
        </w:rPr>
      </w:pPr>
    </w:p>
    <w:p>
      <w:pPr>
        <w:ind w:left="-460" w:firstLine="644"/>
        <w:spacing w:after="0" w:line="282" w:lineRule="auto"/>
        <w:tabs>
          <w:tab w:leader="none" w:pos="41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Any certificate signed by an officer of the Company and delivered to the Placement Agent or to counsel for the Placement Agent shall be deemed to be a representation and warranty by the Company to the Placement Agent as to the matters set forth therein.</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4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Company acknowledges that the Placement Agent will rely upon the accuracy and truthfulness of the foregoing representations and warranties and hereby consents to such reliance.</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contained in the Time of Sale Disclosure Package has been made or reaffirmed without a reasonable basis or has been disclosed other than in good faith.</w:t>
      </w:r>
    </w:p>
    <w:p>
      <w:pPr>
        <w:spacing w:after="0" w:line="17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2" w:name="page13"/>
    <w:bookmarkEnd w:id="12"/>
    <w:p>
      <w:pPr>
        <w:jc w:val="both"/>
        <w:ind w:left="-460" w:firstLine="644"/>
        <w:spacing w:after="0" w:line="266" w:lineRule="auto"/>
        <w:tabs>
          <w:tab w:leader="none" w:pos="4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or Market-Related Data</w:t>
      </w:r>
      <w:r>
        <w:rPr>
          <w:rFonts w:ascii="Times New Roman" w:cs="Times New Roman" w:eastAsia="Times New Roman" w:hAnsi="Times New Roman"/>
          <w:sz w:val="18"/>
          <w:szCs w:val="18"/>
          <w:color w:val="auto"/>
        </w:rPr>
        <w:t>. Any statistical, industry-related and market-related data included or incorporated by reference in the Time of Sale Disclosure Package, are based on or derived from sources that the Company reasonably and in good faith believes to be reliable and accurate, and such data agree with the sources from which they are derived.</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4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 FINRA Affiliations</w:t>
      </w:r>
      <w:r>
        <w:rPr>
          <w:rFonts w:ascii="Times New Roman" w:cs="Times New Roman" w:eastAsia="Times New Roman" w:hAnsi="Times New Roman"/>
          <w:sz w:val="18"/>
          <w:szCs w:val="18"/>
          <w:color w:val="auto"/>
        </w:rPr>
        <w:t>. Except as set forth in the Registration Statement and Prospectus, no brokerage or finder’s fees or commissions are or will be payable by the Company, any Subsidiary or Affiliate of the Company to any broker, financial advisor or consultant, finder, placement agent, investment banker, bank or other Person with respect to the transactions contemplated by the Transaction Documents. Except as set forth in the Registration Statement and Prospectus, there are no other arrangements, agreements or understandings of the Company or, to the Company’s knowledge, any of its stockholders that may affect the Placement Agent’s compensation, as determined by FINRA. Other than payments to the Placement Agent for this Offering, or as set forth in the Registration Statement and Prospectus, the Company has not made and has no agreements, arrangements or understanding to make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participating in the offering as defined in FINRA Rule 5110 (a “Participating Member”); or (iii) any person or entity that has any direct or indirect affiliation or association with any Participating Member, within the 180-day period preceding the initial filing of the Registration Statement through the 60-day period after the Effective Date. None of the net proceeds of the Offering will be paid by the Company to any Participating Member or its affiliates, except as specifically authorized herein. To the Company’s knowledge, no officer, director or any beneficial owner of 10% or more of the Company’s Common Stock or Common Stock Equivalents has any direct or indirect affiliation or association with any Participating Member in the Offering. Except for securities purchased on the open market, no Company Affiliate is an owner of stock or other securities of any Participating Member. To the Company’s knowledge, no Company Affiliate has made a subordinated loan to any Participating Member. No proceeds from the sale of the Securities (excluding placement agent compensation as disclosed in the Registration Statement and the Prospectus) will be paid to any Participating Member, any persons associated with a Participating Member or an affiliate of a Participating Member. Except as disclosed in the Prospectus, the Company has not issued any warrants or other securities or granted any options, directly or indirectly, to the Placement Agent within the 180-day period prior to the initial filing date of the Prospectus. Except for securities issued to the Placement Agent as disclosed in the Prospectus, no person to whom securities of the Company have been privately issued within the 180-day period prior to the initial filing date of the Prospectus is a Participating Member, is a person associated with a Participating Member or is an affiliate of a Participating Member. To the Company’s knowledge, no Participating Member in the Offering has a conflict of interest with the Company. For this purpose, a “conflict of interest” exists when a Participating Member, the parent or affiliate of a Participating Member or any person associated with a Participating Member in the aggregate beneficially own 10% or more of the Company’s outstanding subordinated debt or common equity, or 10% or more of the Company’s preferred equity. “FINRA member participating in the Offering” includes any associated person of a Participating Member in the Offering, any member of such associated person’s immediate family and any affiliate of a Participating Member in the Offering. When used in this Section 2(j) the term “affiliate of a FINRA member” or “affiliated with a FINRA member” means an entity that controls, is controlled by or is under common control with a FINRA member. The Company will advise the Placement Agent and its counsel if it learns that any officer, director or owner of 10% or more of the Company’s outstanding shares of Common Stock or Common Stock Equivalents is or becomes an affiliate or associated person of a Participating Member.</w:t>
      </w:r>
    </w:p>
    <w:p>
      <w:pPr>
        <w:spacing w:after="0" w:line="20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Board of Directors is comprised of the persons set forth in the SEC Reports. The qualifications of the persons serving as board members and the overall composition of the Board of Directors comply with the Sarbanes-Oxley Act of 2002 and the rules promulgated thereunder applicable to the Company and the rules of the Trading Market. In addition, at least a majority of the persons serving on the Board of Directors qualify as “independent” as defined under the rules of the Trading Market.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D&amp;O Questionnaires</w:t>
      </w:r>
      <w:r>
        <w:rPr>
          <w:rFonts w:ascii="Times New Roman" w:cs="Times New Roman" w:eastAsia="Times New Roman" w:hAnsi="Times New Roman"/>
          <w:sz w:val="18"/>
          <w:szCs w:val="18"/>
          <w:color w:val="auto"/>
        </w:rPr>
        <w:t>. To the Company’s knowledge, except as updated in the Time of Sale Disclosure Package, all information contained in the questionnaires most recently completed by each of the Company’s directors and officers is true and correct in all respects (other than changes in securities ownership from the date of such questionnaires) and the Company has not become aware of any information which would cause the information disclosed in such questionnaires to become inaccurate and incorrect.</w:t>
      </w:r>
    </w:p>
    <w:p>
      <w:pPr>
        <w:spacing w:after="0" w:line="1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3" w:name="page14"/>
    <w:bookmarkEnd w:id="13"/>
    <w:p>
      <w:pPr>
        <w:jc w:val="both"/>
        <w:ind w:left="660" w:firstLine="644"/>
        <w:spacing w:after="0" w:line="266" w:lineRule="auto"/>
        <w:tabs>
          <w:tab w:leader="none" w:pos="161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Incorporated by Reference</w:t>
      </w:r>
      <w:r>
        <w:rPr>
          <w:rFonts w:ascii="Times New Roman" w:cs="Times New Roman" w:eastAsia="Times New Roman" w:hAnsi="Times New Roman"/>
          <w:sz w:val="18"/>
          <w:szCs w:val="18"/>
          <w:color w:val="auto"/>
        </w:rPr>
        <w:t>. Each of the representations and warranties made to the Investors in the Purchase Agreement is hereby incorporated herein by reference (as though fully restated herein) and is hereby made to, and in favor of, the Placement Agent, subject to the qualifications, limitations and exceptions set forth in the Purchase Agreement.</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Section 3. Delivery and Payment</w:t>
      </w:r>
      <w:r>
        <w:rPr>
          <w:rFonts w:ascii="Times New Roman" w:cs="Times New Roman" w:eastAsia="Times New Roman" w:hAnsi="Times New Roman"/>
          <w:sz w:val="18"/>
          <w:szCs w:val="18"/>
          <w:color w:val="auto"/>
        </w:rPr>
        <w:t>. Each Closing shall occur remotely by electronic transfer of the Closing documentation (or at such other place as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agreed upon by the Placement Agent and the Company). Subject to the terms and conditions hereof, at each Closing payment of the purchase price for the Securities sold on such Closing Date shall be made through “Delivery Versus Payment” settlement. On the applicable Closing Date, the Company shall issue the Shares and Common Warrants directly to the account or accounts designated by the Placement Agent, and, upon receipt of such Securities, the Placement Agent shall electronically deliver such Securities to the applicable Investor, and payment therefor shall be made by the Placement Agent, or its clearing firm, by Federal Funds wire transfer to the Company. The Pre-Funded Warrants, if any, shall be delivered by the Company to the applicable Investor against payment therefor. For the avoidance of doubt, Warrant Shares shall not be issued or delivered at the Closing unless and to the extent a Warrant is exercised on or prior to such Closing Date in accordance with the terms of the Warrant and the Purchase Agreement. Such Shares and Warrants shall be registered in such name or names as the applicable Investor may designate in the Purchase Agreement or as otherwise provided in the applicable closing instructions.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actions taken at a Closing shall be deemed to have occurred simultaneously.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Covenants and Agreements of the Company</w:t>
      </w:r>
      <w:r>
        <w:rPr>
          <w:rFonts w:ascii="Times New Roman" w:cs="Times New Roman" w:eastAsia="Times New Roman" w:hAnsi="Times New Roman"/>
          <w:sz w:val="18"/>
          <w:szCs w:val="18"/>
          <w:color w:val="auto"/>
        </w:rPr>
        <w:t>. The Company further covenants and agrees with the Placement Agent as follows:</w:t>
      </w:r>
    </w:p>
    <w:p>
      <w:pPr>
        <w:spacing w:after="0" w:line="229" w:lineRule="exact"/>
        <w:rPr>
          <w:sz w:val="20"/>
          <w:szCs w:val="20"/>
          <w:color w:val="auto"/>
        </w:rPr>
      </w:pPr>
    </w:p>
    <w:p>
      <w:pPr>
        <w:jc w:val="both"/>
        <w:ind w:left="660" w:firstLine="644"/>
        <w:spacing w:after="0" w:line="251" w:lineRule="auto"/>
        <w:tabs>
          <w:tab w:leader="none" w:pos="15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Matters</w:t>
      </w:r>
      <w:r>
        <w:rPr>
          <w:rFonts w:ascii="Times New Roman" w:cs="Times New Roman" w:eastAsia="Times New Roman" w:hAnsi="Times New Roman"/>
          <w:sz w:val="18"/>
          <w:szCs w:val="18"/>
          <w:color w:val="auto"/>
        </w:rPr>
        <w:t>. The Company will advise the Placement Agent promptly after it receives written notice thereof of the time when any amendment to the Registration Statement has been filed or becomes effective or any supplement to the Final Prospectus has been filed and will furnish the Placement Agent with copies thereof. The Company will file promptly all reports and any definitive proxy or information statements required to be filed by the Company with the Commission pursuant to Section 13(a), 14 or 15(d) of the Exchange Act subsequent to the date of any Prospectus and for so long as the delivery of a prospectus is required in connection with the Offering. The Company will advise the Placement Agent, promptly after it receives notice thereof (i) of any request by the Commission to amend the Registration Statement or to amend or supplement any Prospectus or for additional information, (ii) of the issuance by the Commission of any stop order suspending the effectiveness of the Registration Statement or any post-effective amendment thereto or any order directed at any Incorporated Document, if any, or any amendment or supplement thereto or any order preventing or suspending the use of the Preliminary Prospectus or the Final Prospectus or any prospectus supplement or any amendment or supplement thereto or any post-effective amendment to the Registration Statement, of the suspension of the qualification of the Securities for offering or sale in any jurisdiction, of the institution or written threat of the institution of any proceeding for any such purpose, or of any request by the Commission for the amending or supplementing of the Registration Statement or a Prospectus or for additional information, (iii) of the issuance by any state securities commission of any proceedings for the suspension of the qualification of the Securities for offering or sale in any jurisdiction or of the initiation, or the threatening, of any proceeding for that purpose; (iv) of the mailing and delivery to the Commission for filing of any amendment or supplement to the Registration Statement or Prospectus; (v) of the receipt of any comments or request for any additional information from the Commission; and (vi) of the happening of any event during the period described in this Section 4(a) that, in the judgment of the Company, makes any statement of a material fact made in the Registration Statement or the Prospectus untrue or that requires the making of any changes in the Registration Statement or the Prospectus in order to make the statements therein, in light of the circumstances under which they were made, not misleading. The Company shall use its reasonable best efforts to prevent the issuance of any such stop order or prevention or suspension of such use. If the Commission shall enter any such stop order or order or notice of prevention or suspension at any time, the Company will use its reasonable best efforts to obtain the lifting of such order at the earliest possible moment, or will file a new registration statement and use its reasonable best efforts to have such new registration statement declared effective as soon as practicable. Additionally, the Company agrees that it shall comply with the provisions of Rules 424(b), 430A, 430B and 430C, as applicable, under the Securities Act, including with respect to the timely filing of documents thereunder, and will use its reasonable efforts to confirm that any filings made by the Company under such Rule 424(b) are received in a timely manner by the Commission.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ind w:left="-460" w:firstLine="644"/>
        <w:spacing w:after="0" w:line="253" w:lineRule="auto"/>
        <w:tabs>
          <w:tab w:leader="none" w:pos="4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Compliance</w:t>
      </w:r>
      <w:r>
        <w:rPr>
          <w:rFonts w:ascii="Times New Roman" w:cs="Times New Roman" w:eastAsia="Times New Roman" w:hAnsi="Times New Roman"/>
          <w:sz w:val="18"/>
          <w:szCs w:val="18"/>
          <w:color w:val="auto"/>
        </w:rPr>
        <w:t>. The Company will cooperate with the Placement Agent and the Investors in endeavoring to qualify the Securities for sale under the securities laws of such jurisdictions (United States and foreign) as the Placement Agent and the Investors may reasonably request and will make such applications, file such documents, and furnish such information as may be reasonably required for that purpose, provided the Company shall not be required to qualify as a foreign corporation or to file a general consent to service of process in any jurisdiction where it is not now so qualified or required to file such a consent, and provided further that the Company shall not be required to produce any new disclosure document. The Company will, from time to time, prepare and file such statements, reports and other documents as are reasonably require by applicable law or may be required to continue such qualifications in effect for so long a period as the Placement Agent may reasonably request for distribution of the Securities. The Company will advise the Placement Agent promptly of the suspension of the qualification or registration of (or any such exemption relating to) the Securities for offering, sale or trading in any jurisdiction or any initiation or threat in writing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Supplements to a Prospectus and Other Matters</w:t>
      </w:r>
      <w:r>
        <w:rPr>
          <w:rFonts w:ascii="Times New Roman" w:cs="Times New Roman" w:eastAsia="Times New Roman" w:hAnsi="Times New Roman"/>
          <w:sz w:val="18"/>
          <w:szCs w:val="18"/>
          <w:color w:val="auto"/>
        </w:rPr>
        <w:t>. The Company will comply with the Securities Act and the Exchange Act, and the rules and regulations of the Commission thereunder, so as to permit the completion of the distribution of the Securities as contemplated in this Agreement, the Incorporated Documents and any Prospectus. If during the period in which a prospectus is required by law to be delivered in connection with the distribution of Securities contemplated by the Incorporated Documents or any Prospectus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Delivery Period</w:t>
      </w:r>
      <w:r>
        <w:rPr>
          <w:rFonts w:ascii="Times New Roman" w:cs="Times New Roman" w:eastAsia="Times New Roman" w:hAnsi="Times New Roman"/>
          <w:sz w:val="18"/>
          <w:szCs w:val="18"/>
          <w:color w:val="auto"/>
        </w:rPr>
        <w:t>”), any event shall occur as a result of which, in the judgment of the Company or in the reasonable opinion of the Placement Agent or counsel for the Placement Agent, it becomes necessary to amend or supplement the Incorporated Documents or any Prospectus in order to make the statements therein, in the light of the circumstances under which they were made, as the case may be, not misleading, or if it is necessary at any time to amend or supplement the Incorporated Documents or any Prospectus or to file under the Exchange Act any Incorporated Document to comply with any law, the Company will promptly prepare and file with the Commission, and furnish at its own expense to the Placement Agent and to dealers, an appropriate amendment to the Registration Statement or supplement to the Registration Statement, the Incorporated Documents or any Prospectus that is necessary in order to make the statements in the Incorporated Documents and any Prospectus as so amended or supplemented, in the light of the circumstances under which they were made, as the case may be, not misleading, or so that the Registration Statement, the Incorporated Documents or any Prospectus, as so amended or supplemented, will comply with law. Before amending the Registration Statement or supplementing the Incorporated Documents or any Prospectus in connection with the Offering, the Company will furnish the Placement Agent with a copy of such proposed amendment or supplement and will not file any such amendment or supplement related to the Offering to which the Placement Agent reasonably objects; provided that the Company may make any filing that it determines, upon advice of counsel, is required by applicable law, rule, or regulation.</w:t>
      </w:r>
    </w:p>
    <w:p>
      <w:pPr>
        <w:spacing w:after="0" w:line="19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Copies of any Amendments and Supplements to a Prospectus</w:t>
      </w:r>
      <w:r>
        <w:rPr>
          <w:rFonts w:ascii="Times New Roman" w:cs="Times New Roman" w:eastAsia="Times New Roman" w:hAnsi="Times New Roman"/>
          <w:sz w:val="18"/>
          <w:szCs w:val="18"/>
          <w:color w:val="auto"/>
        </w:rPr>
        <w:t>. The Company will furnish the Placement Agent, without charge, during the period beginning on the date hereof and ending on the last Closing Date of the Offering, as many electronic copies of any Prospectus or prospectus supplement and any amendments and supplements thereto, as the Placement Agent may reasonably request.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The Company covenants that it will not, unless it obtains the prior written consent of the Placement Agent, make any offer relating to the Securities that would constitute a Company Free Writing Prospectus or that would otherwise constitute a “</w:t>
      </w:r>
      <w:r>
        <w:rPr>
          <w:rFonts w:ascii="Times New Roman" w:cs="Times New Roman" w:eastAsia="Times New Roman" w:hAnsi="Times New Roman"/>
          <w:sz w:val="18"/>
          <w:szCs w:val="18"/>
          <w:u w:val="single" w:color="auto"/>
          <w:color w:val="auto"/>
        </w:rPr>
        <w:t>free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writing prospectus</w:t>
      </w:r>
      <w:r>
        <w:rPr>
          <w:rFonts w:ascii="Times New Roman" w:cs="Times New Roman" w:eastAsia="Times New Roman" w:hAnsi="Times New Roman"/>
          <w:sz w:val="18"/>
          <w:szCs w:val="18"/>
          <w:color w:val="auto"/>
        </w:rPr>
        <w:t>” (as defined in Rule 405 of the Securities Act) required to be filed by the Company with the Commission or retained by the Company under Rule 433 of the Securities Act. In the event that the Placement Agent expressly consents in writing to any such free writing prospectus (a “</w:t>
      </w: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the Company covenants that it shall (i) treat each Permitted Free Writing Prospectus as a Company Free Writing Prospectus, and (ii) comply with the requirements of Rules 164 and 433 of the Securities Act applicable to such Permitted Free Writing Prospectus, including in respect of timely filing with the Commission, legending and record keeping.</w:t>
      </w:r>
    </w:p>
    <w:p>
      <w:pPr>
        <w:spacing w:after="0" w:line="1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5" w:name="page16"/>
    <w:bookmarkEnd w:id="15"/>
    <w:p>
      <w:pPr>
        <w:ind w:left="400" w:hanging="216"/>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will maintain, at its expense, a registrar and transfer agent for the Common Stock.</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As soon as practicable and in accordance with applicable requirements under the Securities Act, but in any event not later than 18 months after the last Closing Date, the Company will make generally available to its security holders and to the Placement Agent an earnings statement, covering a period of at least 12 consecutive months beginning after the last Closing Date, that satisfies the provisions of Section 11(a) and Rule 158 under the Securities Act.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Periodic Reporting Obligations</w:t>
      </w:r>
      <w:r>
        <w:rPr>
          <w:rFonts w:ascii="Times New Roman" w:cs="Times New Roman" w:eastAsia="Times New Roman" w:hAnsi="Times New Roman"/>
          <w:sz w:val="18"/>
          <w:szCs w:val="18"/>
          <w:color w:val="auto"/>
        </w:rPr>
        <w:t>. During the Prospectus Delivery Period, the Company will duly file, on a timely basis or within any applicable extension period permitted under the Exchange Act, with the Commission and the Trading Market all reports and documents required to be filed under the Exchange Act within the time periods and in the manner required by the Exchange Act.</w:t>
      </w:r>
    </w:p>
    <w:p>
      <w:pPr>
        <w:spacing w:after="0" w:line="173"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1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enter into any subscription, purchase or other customary agreements as the Placement Agent or the Investors deem reasonably necessary to consummate the Offering, all of which will be in form and substance reasonably acceptable to the Placement Agent and the Investors. The Company agrees that the Placement Agent may rely upon, and each is a third party beneficiary of, the representations and warranties, and applicable covenants, set forth in any such purchase, subscription or other agreement with Investors in the Offering.</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Manipulation of Price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Neither the Company, nor, to its knowledge, any of its employees, directors or stockholders acting on behalf of the Company,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Securities.</w:t>
      </w:r>
    </w:p>
    <w:p>
      <w:pPr>
        <w:spacing w:after="0" w:line="18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The Company acknowledges that any advice given by the Placement Agent to the Company is solely for the benefit and use of the Board of Directors of the Company and may not be used, reproduced, disseminated, quoted or referred to, without the Placement Agent’s prior written consent, not to be unreasonably withheld, conditioned, or delayed.</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Announcement of Offering</w:t>
      </w:r>
      <w:r>
        <w:rPr>
          <w:rFonts w:ascii="Times New Roman" w:cs="Times New Roman" w:eastAsia="Times New Roman" w:hAnsi="Times New Roman"/>
          <w:sz w:val="18"/>
          <w:szCs w:val="18"/>
          <w:color w:val="auto"/>
        </w:rPr>
        <w:t>. The Company acknowledges and agrees that the Placement Agent may, subsequent to the Closing, make public its involvement with the Offering; provided that any such announcement shall be limited to the Placement Agent’s role in the Offering and shall not include the Company’s logo or any non-public information without the Company’s prior written consent.</w:t>
      </w:r>
    </w:p>
    <w:p>
      <w:pPr>
        <w:spacing w:after="0" w:line="175" w:lineRule="exact"/>
        <w:rPr>
          <w:rFonts w:ascii="Times New Roman" w:cs="Times New Roman" w:eastAsia="Times New Roman" w:hAnsi="Times New Roman"/>
          <w:sz w:val="18"/>
          <w:szCs w:val="18"/>
          <w:color w:val="auto"/>
        </w:rPr>
      </w:pPr>
    </w:p>
    <w:p>
      <w:pPr>
        <w:ind w:left="480" w:hanging="296"/>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Others</w:t>
      </w:r>
      <w:r>
        <w:rPr>
          <w:rFonts w:ascii="Times New Roman" w:cs="Times New Roman" w:eastAsia="Times New Roman" w:hAnsi="Times New Roman"/>
          <w:sz w:val="18"/>
          <w:szCs w:val="18"/>
          <w:color w:val="auto"/>
        </w:rPr>
        <w:t>. The Company confirms that it will rely on its own counsel and accountants for legal and accounting advice.</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Research Matters</w:t>
      </w:r>
      <w:r>
        <w:rPr>
          <w:rFonts w:ascii="Times New Roman" w:cs="Times New Roman" w:eastAsia="Times New Roman" w:hAnsi="Times New Roman"/>
          <w:sz w:val="18"/>
          <w:szCs w:val="18"/>
          <w:color w:val="auto"/>
        </w:rPr>
        <w:t>. By entering into this Agreement, the Placement Agent does not provide any promise, either explicitly or implicitly, of favorable or continued research coverage of the Company and the Company hereby acknowledges and agrees that the Placement Agent’s selection as a placement agent for the Offering was in no way conditioned, explicitly or implicitly, on the Placement Agent providing favorable or any research coverage of the Company. In accordance with FINRA Rule 2241(b)(2), the parties acknowledge and agree that the Placement Agent has not directly or indirectly offered favorable research, a specific rating or a specific price target, or threatened to change research, a rating or a price target, to the Company as an inducement for the receipt of business or compensation. The Company hereby waives and releases, to the fullest extent permitted by law, any claims that the Company may have against the Placement Agent with respect to any conflict of interest that may arise from the fact that the views expressed by their independent research analysts and research departments may be different from or inconsistent with the views or advice communicated to the Company by the Placement Agent’s investment banking divisions. The Company acknowledges that the Placement Agent is a full service securities firm and as such from time to time, subject to applicable securities laws, may effect transactions for its own account or the account of its customers and hold long or short positions in debt or equity securities of the Company.</w:t>
      </w:r>
    </w:p>
    <w:p>
      <w:pPr>
        <w:spacing w:after="0" w:line="1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6" w:name="page17"/>
    <w:bookmarkEnd w:id="16"/>
    <w:p>
      <w:pPr>
        <w:ind w:left="440" w:hanging="25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0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(i) ninety (90) days after the Closing Date if the aggregate gross proceeds received by the Company from the Offering equal or exceed $10,000,000 or (ii) forty-five (45) days after the Closing Date if the aggregate gross proceeds received by the Company from the Offering are less than $10,000,000, neither the Company nor any Subsidiary shall (i) issue, enter into any agreement to issue or announce the issuance or proposed issuance of any shares of Common Stock or Common Stock Equivalents or (ii) file any registration statement or amendment or supplement thereto, other than the Prospectus, a post-effective amendment to the Registration Statement to file exhibits, or filing a registration statement on Form S-8 in connection with any employee benefit plan, in each case without prior written consent of the Placement Agent.</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09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180 days after the Closing Date, the Company shall not effect or enter into an agreement to effect any issuance by the Company or any of its Subsidiaries of Common Stock or Common Stock Equivalents (or a combination of units thereof) involving a Variable Rate Transaction, provided however that 60 days following the Closing Date, the Company may enter into and/or issue Common Stock in an “at-the-market” offering. “Variable Rate Transaction” means a transaction in which the Company (i) issues or sells any debt or equity securities that are convertible into, exchangeable or exercisable for, or include the right to receive additional Common Stock either (A) at a conversion price, exercise price or exchange rate or other price that is based upon and/or varies with the trading prices of or quotations for the Common Stock at any time after the initial issuance of such debt or equity securities, or</w:t>
      </w:r>
    </w:p>
    <w:p>
      <w:pPr>
        <w:spacing w:after="0" w:line="2" w:lineRule="exact"/>
        <w:rPr>
          <w:rFonts w:ascii="Times New Roman" w:cs="Times New Roman" w:eastAsia="Times New Roman" w:hAnsi="Times New Roman"/>
          <w:sz w:val="18"/>
          <w:szCs w:val="18"/>
          <w:color w:val="auto"/>
        </w:rPr>
      </w:pPr>
    </w:p>
    <w:p>
      <w:pPr>
        <w:jc w:val="both"/>
        <w:ind w:left="1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Any issuance of securities to Streeterville Capital, LLC or an affiliate thereof shall not be deemed a Variable Rate Transaction. Any Purchaser shall be entitled to seek injunctive relief against the Company to preclude any such issuance, which remedy shall be in addition to any right to collect damages.</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52" w:lineRule="auto"/>
        <w:tabs>
          <w:tab w:leader="none" w:pos="114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4(o) shall not apply (i) in respect of an Exempt Issuance, except that no Variable Rate Transaction shall be an Exempt Issuance, or (ii) to the reset of the conversion or exercise price of any currently outstanding security pursuant to its terms as in effect on the date of this Agreement. An “</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Common Stock, restricted stock units, options or other equity awards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and/or other securities exercisable or exchangeable for or convertible into Common Stock issued and outstanding on the date of this Agreement, provided that such securities have not been amended (other than automatic adjustments pursuant to their terms as in effect on the date of this Agreement) since the date of this Agreement to increase the number of such securities or to decrease the exercise price, exchange price or conversion price of such securities (other than in connection with stock splits or combinations) or to extend the term of such securities (other than the extension of the term of exercise for stock options to employees, officers or directors of the Company pursuant to any stock or option plan described in clause (a) of this definition),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4(o)(i)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7" w:name="page18"/>
    <w:bookmarkEnd w:id="17"/>
    <w:p>
      <w:pPr>
        <w:jc w:val="both"/>
        <w:ind w:left="660" w:firstLine="644"/>
        <w:spacing w:after="0" w:line="261" w:lineRule="auto"/>
        <w:tabs>
          <w:tab w:leader="none" w:pos="15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The Company shall advise the Placement Agent (who shall make an appropriate filing with FINRA) if it is aware that any officer, director, 10% or greater stockholder of the Company or Person that received the Company’s unregistered equity securities in the past 180 days is or becomes an affiliate or associated person of a FINRA member firm prior to the earlier of the termination of this Agreement or the 60-day period after the Effective Date.</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Financings</w:t>
      </w:r>
      <w:r>
        <w:rPr>
          <w:rFonts w:ascii="Times New Roman" w:cs="Times New Roman" w:eastAsia="Times New Roman" w:hAnsi="Times New Roman"/>
          <w:sz w:val="18"/>
          <w:szCs w:val="18"/>
          <w:color w:val="auto"/>
        </w:rPr>
        <w:t>. If, upon a Closing in which the aggregate gross proceeds received by the Company from the Offering equal or exceed $10,000,000, the Company, within six (6) months following such Closing, completes any financing of equity, equity-linked or debt or other capital raising activity with, or receives any proceeds from, any of the investors contacted by the Placement Agent during the Engagement Period, then the Company will pay the Placement Agent upon the closing of such financing or receipt of such proceeds the applicable fees set forth in Section 1(a)(i) and (ii) herein.</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Closing in which (i) the aggregate gross proceeds received by the Company from the Offering equal or exceed $10,000,000 and (ii) the Company and the Placement Agent together determine in good faith that the lead investor is a fundamentally-oriented biotechnology specialist investor, for a period of twelve (12) months from such Closing the Company grants the Placement Agent the right of first refusal to act as sole managing underwriter and sole book runner, sole placement agent, or sole sales agent, for any and all future public or private equity, equity-linked, convertible or debt (excluding commercial bank debt) offerings for which the Company retains the service of an underwriter, agent, advisor, finder or other person or entity in connection with such offering during such twelve (12) month period of the Company, or any successor to or any subsidiary of the Company; provided, however, that the right of first refusal set forth in this paragraph shall not apply to the Company’s existing at-the-market offering program with H.C. Wainwright &amp; Co., LLC. The Company shall not offer to retain any entity or person in connection with any such offering on terms more favorable than terms on which it offers to retain the Placement Agent. Such offer shall be made in writing in order to be effective. The Placement Agent shall notify the Company within ten (10) business days of its receipt of the written offer contemplated above as to whether or not it agrees to accept such retention. If the Placement Agent should decline such retention, the Company shall have no further obligations to the Placement Agent with respect to the offering for which it has offered to retain the Placement Agent, except as otherwise provided for herein.</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Section 5. Conditions of the Obligations of the Placement Agent</w:t>
      </w:r>
      <w:r>
        <w:rPr>
          <w:rFonts w:ascii="Times New Roman" w:cs="Times New Roman" w:eastAsia="Times New Roman" w:hAnsi="Times New Roman"/>
          <w:sz w:val="18"/>
          <w:szCs w:val="18"/>
          <w:color w:val="auto"/>
        </w:rPr>
        <w:t>. The obligations of the Placement Agent hereunder shall be subject to the accuracy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representations and warranties on the part of the Company set forth in Section 2 hereof, in each case as of the date hereof and as of each Closing Date as though then made, to the timely performance by the Company of its covenants and other obligations hereunder on and as of such dates, and to each of the following additional conditions:</w:t>
      </w:r>
    </w:p>
    <w:p>
      <w:pPr>
        <w:spacing w:after="0" w:line="180" w:lineRule="exact"/>
        <w:rPr>
          <w:sz w:val="20"/>
          <w:szCs w:val="20"/>
          <w:color w:val="auto"/>
        </w:rPr>
      </w:pPr>
    </w:p>
    <w:p>
      <w:pPr>
        <w:jc w:val="both"/>
        <w:ind w:left="660" w:firstLine="644"/>
        <w:spacing w:after="0" w:line="255" w:lineRule="auto"/>
        <w:tabs>
          <w:tab w:leader="none" w:pos="15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 Comfort Letter</w:t>
      </w:r>
      <w:r>
        <w:rPr>
          <w:rFonts w:ascii="Times New Roman" w:cs="Times New Roman" w:eastAsia="Times New Roman" w:hAnsi="Times New Roman"/>
          <w:sz w:val="18"/>
          <w:szCs w:val="18"/>
          <w:color w:val="auto"/>
        </w:rPr>
        <w:t>. On the date hereof, the Placement Agent shall have received, and the Company shall have caused to be delivered to the Placement Agent, a letter from WithumSmith+Brown, PC (the independent registered public accounting firm of the Company), addressed to the Placement Agent, dated as of the date hereof, in form and substance satisfactory to the Placement Agent. The letter shall not disclose any change in the condition (financial or other), earnings, operations, business or prospects of the Company from that set forth in the Incorporated Documents or the applicable Prospectus or prospectus supplement, which, in the Placement Agent’s sole judgment, is material and adverse and that makes it, in the Placement Agent’s sole judgment, impracticable or inadvisable to proceed with the Offering of the Securities as contemplated by such Prospectus.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ind w:left="-460" w:firstLine="644"/>
        <w:spacing w:after="0" w:line="253" w:lineRule="auto"/>
        <w:tabs>
          <w:tab w:leader="none" w:pos="4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Registration Requirements; No Stop Order; No Objection from FINRA.</w:t>
      </w:r>
      <w:r>
        <w:rPr>
          <w:rFonts w:ascii="Times New Roman" w:cs="Times New Roman" w:eastAsia="Times New Roman" w:hAnsi="Times New Roman"/>
          <w:sz w:val="18"/>
          <w:szCs w:val="18"/>
          <w:color w:val="auto"/>
        </w:rPr>
        <w:t xml:space="preserve"> Each Prospectus (in accordance with Rule 424(b)) and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(as defined in Rule 405 of the Securities Act), if any, shall have been duly filed with the Commission, as appropriate; no stop order suspending the effectiveness of the Registration Statement or any part thereof shall have been issued and no proceeding for that purpose shall have been initiated or threatened by the Commission; no order preventing or suspending the use of any Prospectus shall have been issued and no proceeding for that purpose shall have been initiated or threatened by the Commission; no order having the effect of ceasing or suspending the distribution of the Securities or any other securities of the Company shall have been issued by any securities commission, securities regulatory authority or stock exchange and no proceedings for that purpose shall have been instituted or shall be pending or, to the knowledge of the Company, contemplated by any securities commission, securities regulatory authority or stock exchange; all requests for additional information on the part of the Commission shall have been complied with; and FINRA shall have raised no objection to the fairness and reasonableness of the placement terms and arrangements.</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Proceedings</w:t>
      </w:r>
      <w:r>
        <w:rPr>
          <w:rFonts w:ascii="Times New Roman" w:cs="Times New Roman" w:eastAsia="Times New Roman" w:hAnsi="Times New Roman"/>
          <w:sz w:val="18"/>
          <w:szCs w:val="18"/>
          <w:color w:val="auto"/>
        </w:rPr>
        <w:t>. All corporate proceedings and other legal matters in connection with this Agreement, the Registration Statement and each Prospectus, and the registration, sale and delivery of the Securities, shall have been completed or resolved in a manner reasonably satisfactory to the Placement Agent’s counsel, and such counsel shall have been furnished with such papers and information as it may reasonably have requested to enable such counsel to pass upon the matters referred to in this Section 5.</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Subsequent to the execution and delivery of this Agreement and prior to each Closing Date, in the Placement Agent’s reasonable judgment after consultation with the Company, there shall not have occurred any Material Adverse Effect or any material adverse change or development involving a prospective material adverse change in the condition or the business activities, financial or otherwise, of the Company from the latest dates as of which such condition is set forth in the Registration Statement and Prospectus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Adverse Change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Company Counsel</w:t>
      </w:r>
      <w:r>
        <w:rPr>
          <w:rFonts w:ascii="Times New Roman" w:cs="Times New Roman" w:eastAsia="Times New Roman" w:hAnsi="Times New Roman"/>
          <w:sz w:val="18"/>
          <w:szCs w:val="18"/>
          <w:color w:val="auto"/>
        </w:rPr>
        <w:t>. The Placement Agent shall have received on each Closing Date the opinion and negative assurance letter of the Company’s United States Counsel dated as of such Closing Date, in form and substance reasonably satisfactory to the Placement Agent.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Intellectual Property Counsel for the Company</w:t>
      </w:r>
      <w:r>
        <w:rPr>
          <w:rFonts w:ascii="Times New Roman" w:cs="Times New Roman" w:eastAsia="Times New Roman" w:hAnsi="Times New Roman"/>
          <w:sz w:val="18"/>
          <w:szCs w:val="18"/>
          <w:color w:val="auto"/>
        </w:rPr>
        <w:t>. The Placement Agent shall have received on each Closing Date the opinion of Sterne, Kessler, Goldstein &amp; Fox P.L.L.C., Intellectual Property counsel to the Company, dated as of such Closing Date, addressed to the Placement Agent and in form and substance reasonably satisfactory to the Placement Agent.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The Placement Agent shall have received on each Closing Date a certificate of the Company, dated as of such Closing Date, signed by the Chief Executive Officer and Chief Financial Officer of the Company, to the effect that, and the Placement Agent shall be satisfied that, the signers of such certificate have reviewed the Registration Statement, the Incorporated Documents, the Prospectus, and this Agreement and to the further effect that:</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0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this Agreement are true and correct, as if made on and as of such Closing Date, and the Company has complied with all the agreements and satisfied all the conditions on its part to be performed or satisfied at or prior to such Closing Date;</w:t>
      </w:r>
    </w:p>
    <w:p>
      <w:pPr>
        <w:spacing w:after="0" w:line="1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9" w:name="page20"/>
    <w:bookmarkEnd w:id="19"/>
    <w:p>
      <w:pPr>
        <w:jc w:val="both"/>
        <w:ind w:left="180" w:firstLine="652"/>
        <w:spacing w:after="0" w:line="256" w:lineRule="auto"/>
        <w:tabs>
          <w:tab w:leader="none" w:pos="10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the use of the Prospectus has been issued and no proceedings for that purpose have been instituted or are pending or, to the Company’s knowledge, threatened under the Securities Act; no order having the effect of ceasing or suspending the distribution of the Securities or any other securities of the Company has been issued by any securities commission, securities regulatory authority or stock exchange in the United States and no proceedings for that purpose have been instituted or are pending or, to the knowledge of the Company, contemplated by any securities commission, securities regulatory authority or stock exchange in the United States;</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14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Registration Statement became effective, at the time of sale, and at all times subsequent thereto up to the delivery of such certificate, the Registration Statement and the Incorporated Documents, if any, when such documents became effective or were filed with the Commission, and any Prospectus, contained all material information required to be included therein by the Securities Act and the Exchange Act and the applicable rules and regulations of the Commission thereunder, as the case may be, and in all material respects conformed to the requirements of the Securities Act and the Exchange Act and the applicable rules and regulations of the Commission thereunder, as the case may be, and the Registration Statement and the Incorporated Documents, if any, and any Prospectus, did not and do not include any untrue statement of a material fact or omit to state a material fact required to be stated therein or necessary to make the statements therein, in the light of the circumstances under which they were made, not misleading (provided, however, that the preceding representations and warranties contained in this paragraph (iii) shall not apply to any statements or omissions made in reliance upon and in conformity with information furnished in writing to the Company by the Placement Agent expressly for use therein) and, since the effective date of the Registration Statement, there has occurred no event required by the Securities Act and the rules and regulations of the Commission thereunder to be set forth in the Incorporated Documents which has not been so set forth; and</w:t>
      </w:r>
    </w:p>
    <w:p>
      <w:pPr>
        <w:spacing w:after="0" w:line="189"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17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the Registration Statement, the Incorporated Documents and any Prospectus, there has not been: (a) any Material Adverse Change; (b) any transaction that is material to the Company and the Subsidiaries taken as a whole, except transactions entered into in the ordinary course of business; (c) any obligation, direct or contingent, that is material to the Company and the Subsidiaries taken as a whole, incurred by the Company or any Subsidiary, except obligations incurred in the ordinary course of business; (d) any material change in the capital stock (except changes thereto resulting from the exercise of outstanding stock options or warrants) or outstanding indebtedness of the Company or any Subsidiary; (e) any dividend or distribution of any kind declared, paid or made on the capital stock of the Company; or (f) any loss or damage (whether or not insured) to the property of the Company or any Subsidiary which has been sustained or will have been sustained which has a Material Adverse Effect.</w:t>
      </w:r>
    </w:p>
    <w:p>
      <w:pPr>
        <w:spacing w:after="0" w:line="186"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Bring-down Comfort Letter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On each Closing Date, the Placement Agent shall have received from WithumSmith+Brown, PC, or such other independent registered public accounting firm of the Company, a letter dated as of such Closing Date, in form and substance satisfactory to the Placement Agent, to the effect that they reaffirm the statements made in the letter furnished pursuant to subsection (a) of this Section 5, except that the specified date referred to therein for the carrying out of procedures shall be no more than three business days prior to such Closing Date.</w:t>
      </w:r>
    </w:p>
    <w:p>
      <w:pPr>
        <w:spacing w:after="0" w:line="181" w:lineRule="exact"/>
        <w:rPr>
          <w:rFonts w:ascii="Times New Roman" w:cs="Times New Roman" w:eastAsia="Times New Roman" w:hAnsi="Times New Roman"/>
          <w:sz w:val="18"/>
          <w:szCs w:val="18"/>
          <w:color w:val="auto"/>
        </w:rPr>
      </w:pPr>
    </w:p>
    <w:p>
      <w:pPr>
        <w:ind w:left="-460" w:firstLine="644"/>
        <w:spacing w:after="0" w:line="282" w:lineRule="auto"/>
        <w:tabs>
          <w:tab w:leader="none" w:pos="4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On the date hereof, the Placement Agent shall have received the executed lock-up agreement from each of the Company’s directors, officers and greater than 5% stockholders as of the date hereof.</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The Common Stock shall be registered under the Exchange Act and shall be listed on the Trading Market, and the Company shall not have taken any action designed to terminate, or likely to have the effect of terminating, the registration of the Common Stock under the Exchange Act or delisting or suspending from trading the Common Stock from the Trading Market, nor shall the Company have received any information suggesting that the Commission or the Trading Market is contemplating terminating such registration or listing.</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0" w:name="page21"/>
    <w:bookmarkEnd w:id="20"/>
    <w:p>
      <w:pPr>
        <w:jc w:val="both"/>
        <w:ind w:left="660" w:firstLine="644"/>
        <w:spacing w:after="0" w:line="261" w:lineRule="auto"/>
        <w:tabs>
          <w:tab w:leader="none" w:pos="159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On or before each Closing Date, the Placement Agent and counsel for the Placement Agent shall have received such information and documents as they may reasonably require for the purposes of enabling them to pass upon the issuance and sale of the Securities as contemplated herein, or in order to evidence the accuracy of any of the representations and warranties, or the satisfaction of any of the conditions or agreements, herein contained.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condition specified in this Section 5 is not satisfied when and as required to be satisfied, this Agreement may be terminated by the Placement Agent by notice to the Company at any time on or prior to a Closing Date, which termination shall be without liability on the part of any party to any other party, except that Section 6 (Payment of Expenses), Section 7 (Indemnification and Contribution) and Section 8 (Representations and Indemnities to Survive Delivery) shall at all times be effective and shall survive such termination.</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Section 6. Payment of Expenses</w:t>
      </w:r>
      <w:r>
        <w:rPr>
          <w:rFonts w:ascii="Times New Roman" w:cs="Times New Roman" w:eastAsia="Times New Roman" w:hAnsi="Times New Roman"/>
          <w:sz w:val="18"/>
          <w:szCs w:val="18"/>
          <w:color w:val="auto"/>
        </w:rPr>
        <w:t>. The Company agrees to pay all actual, reasonable and documented costs, fees and expenses incurred by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performance of its obligations hereunder and in connection with the transactions contemplated hereby, including, without limitation: (i) all expenses incident to the issuance, delivery and qualification of the Securities (including all printing and engraving costs); (ii) all fees and expenses of the registrar and transfer agent of the Common Stock; (iii) all necessary issue, transfer and other stamp taxes in connection with the issuance and sale of the Securities;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Preliminary Prospectus, the Final Prospectus and each prospectus supplement, if any, and all amendments and supplements thereto; (vi) all filing fees, reasonable attorneys’ fees and expenses incurred by the Company or the Placement Agent in connection with qualifying or registering (or obtaining exemptions from the qualification or registration of) all or any part of the Securities for offer and sale under the state securities or blue sky laws or the securities laws of any other country, and, if reasonably requested by the Placement Agent, preparing and printing a “</w:t>
      </w:r>
      <w:r>
        <w:rPr>
          <w:rFonts w:ascii="Times New Roman" w:cs="Times New Roman" w:eastAsia="Times New Roman" w:hAnsi="Times New Roman"/>
          <w:sz w:val="18"/>
          <w:szCs w:val="18"/>
          <w:u w:val="single" w:color="auto"/>
          <w:color w:val="auto"/>
        </w:rPr>
        <w:t>Blue Sky Survey</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International Blue Sky Survey</w:t>
      </w:r>
      <w:r>
        <w:rPr>
          <w:rFonts w:ascii="Times New Roman" w:cs="Times New Roman" w:eastAsia="Times New Roman" w:hAnsi="Times New Roman"/>
          <w:sz w:val="18"/>
          <w:szCs w:val="18"/>
          <w:color w:val="auto"/>
        </w:rPr>
        <w:t>” or other memorandum, and any supplements thereto, advising the Placement Agent of such qualifications, registrations and exemptions; (viii) if applicable, the filing fees incident to the review and approval by FINRA of the Placement Agent’s participation in the offering and distribution of the Securities; (ix) the fees and expenses associated with including the Shares and Warrant Shares on the Trading Market; and (x) all costs and expenses incident to the “</w:t>
      </w:r>
      <w:r>
        <w:rPr>
          <w:rFonts w:ascii="Times New Roman" w:cs="Times New Roman" w:eastAsia="Times New Roman" w:hAnsi="Times New Roman"/>
          <w:sz w:val="18"/>
          <w:szCs w:val="18"/>
          <w:u w:val="single" w:color="auto"/>
          <w:color w:val="auto"/>
        </w:rPr>
        <w:t>roadshow</w:t>
      </w:r>
      <w:r>
        <w:rPr>
          <w:rFonts w:ascii="Times New Roman" w:cs="Times New Roman" w:eastAsia="Times New Roman" w:hAnsi="Times New Roman"/>
          <w:sz w:val="18"/>
          <w:szCs w:val="18"/>
          <w:color w:val="auto"/>
        </w:rPr>
        <w:t>”, including any travel and accommodation of the Company’s and the Placement Agent’s employees on the “</w:t>
      </w:r>
      <w:r>
        <w:rPr>
          <w:rFonts w:ascii="Times New Roman" w:cs="Times New Roman" w:eastAsia="Times New Roman" w:hAnsi="Times New Roman"/>
          <w:sz w:val="18"/>
          <w:szCs w:val="18"/>
          <w:u w:val="single" w:color="auto"/>
          <w:color w:val="auto"/>
        </w:rPr>
        <w:t>roadshow</w:t>
      </w:r>
      <w:r>
        <w:rPr>
          <w:rFonts w:ascii="Times New Roman" w:cs="Times New Roman" w:eastAsia="Times New Roman" w:hAnsi="Times New Roman"/>
          <w:sz w:val="18"/>
          <w:szCs w:val="18"/>
          <w:color w:val="auto"/>
        </w:rPr>
        <w:t>,” if any; and (xi) all other fees, costs and expenses referred to in Part II of the Registration Statement. It is understood and agreed that the Company’s reimbursement obligation for the Placement Agent’s legal and other out of pocket expenses, less the Advance, in connection with the Offering, shall not exceed (i) an aggregate of $125,000 in the event that the Offering closes or (ii) an aggregate of $25,000 in the event that the Offering does not close.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Indemnification and Contribution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4"/>
        <w:spacing w:after="0" w:line="252" w:lineRule="auto"/>
        <w:tabs>
          <w:tab w:leader="none" w:pos="156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Placement Agent, its affiliates and each person controlling the Placement Agent (within the meaning of Section 15 of the Securities Act), and the directors, officers, and employees of the Placement Agent, its affiliates and each such controlling person (the Placement Agent, and each such entity or person,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from and against any losses, claims, damages, assessments, costs and other liabilities (collectively, the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and shall reimburse each Indemnified Person for all fees and expenses (including the reasonable fees and expenses of one counsel for all Indemnified Persons, except as otherwise expressly provided herein) (collectively, the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as they are incurred by an Indemnified Person in investigating, preparing, pursuing or defending any actions, whether or not any Indemnified Person is a party thereto, (i) caused by, or arising out of or in connection with, any untrue statement or alleged untrue statement of a material fact contained in the Registration Statement, any Incorporated Document, or any Prospectus or by any omission or alleged omission to state therein a material fact necessary to make the statements therein, in light of the circumstances under which they were made, not misleading (other than untrue statements or alleged untrue statements in, or omissions or alleged omissions from, information relating to an Indemnified Person furnished in writing by or on behalf of such Indemnified Person expressly for use in the Incorporated Documents) or (ii) otherwise arising out of or in connection with advice or services rendered or to be rendered by any Indemnified Person pursuant to this Agreement, the transactions contemplated thereby or any Indemnified Person’s actions or inactions in connection with any such advice, services or transactions;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in the case of clause (ii) only, the Company shall not be responsible for any Liabilities or Expenses of any Indemnified Person that are finally judicially determined to have resulted solely from such Indemnified Person’s (x) bad faith, gross negligence, intentional misconduct or willful misconduct in connection with any of the advice, actions, inactions or services referred to above or (y) use of any offering materials or information concerning the Company in connection with the offer or sale of the Securities in the Offering which were not authorized for such use by the Company and which use constitutes gross negligence or willful misconduct. The Company also agrees to reimburse each Indemnified Person for all Expenses as they are incurred in connection with enforcing such Indemnified Person’s rights under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left="-460" w:firstLine="644"/>
        <w:spacing w:after="0" w:line="251" w:lineRule="auto"/>
        <w:tabs>
          <w:tab w:leader="none" w:pos="4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an Indemnified Person of actual notice of an action against such Indemnified Person with respect to which indemnity may be sought under this Agreement, such Indemnified Person shall promptly notify the Company in writing; provided that failure by any Indemnified Person so to notify the Company shall not relieve the Company from any liability which the Company may have on account of this indemnity or otherwise to such Indemnified Person, except to the extent the Company shall have been prejudiced by such failure. The Company shall have the right, but not the obligation, if requested by the Placement Agent, to assume the defense of any such action including the employment of counsel reasonably satisfactory to the Placement Agent, which counsel may also be counsel to the Company. The Company shall give written notice to the Indemnified Person within fourteen (14) calendar days of receiving the Indemnified Person’s written notice. Any Indemnified Person shall have the right to employ separate counsel in any such action and participate in the defense thereof, but the fees and expenses of such counsel shall be at the expense of such Indemnified Person unless: (i) the Company has failed promptly to assume the defense and employ counsel or (ii) the named parties to any such action (including any impleaded parties) include such Indemnified Person and the Company, and such Indemnified Person shall have been advised in the reasonable opinion of counsel that there is an actual conflict of interest that prevents the counsel selected by the Company from representing both the Company (or another client of such counsel) and any Indemnified Person; provided that the Company shall not in such event be responsible hereunder for the fees and expenses of more than one firm of separate counsel for all Indemnified Persons in connection with any action or related actions, in addition to any local counsel. It is understood and agreed that the Company will advance any retainer fees required by legal counsel to an Indemnified Person simultaneously with the engagement by such Indemnified Person of such counsel, the amount of such retainer shall not exceed $20,000 and such retainer shall be credited to fees incurred with the balance (if any) refundable to the Indemnitor. The Company shall not be liable for any settlement of any action effected without its written consent (which shall not be unreasonably withheld). In addition, the Company shall not, without the prior written consent of the Placement Agent (which shall not be unreasonably withheld), settle, compromise or consent to the entry of any judgment in or otherwise seek to terminate any pending or threatened action in respect of which indemnification or contribution may be sought hereunder (whether or not such Indemnified Person is a party thereto) unless such settlement, compromise, consent or termination includes an unconditional release of each Indemnified Person from all Liabilities arising out of such action for which indemnification or contribution may be sought hereunder. The indemnification required hereby shall be made by periodic payments of the amount thereof during the course of the investigation or defense, as such expense, loss, damage or liability is incurred and is due and payable.</w:t>
      </w:r>
    </w:p>
    <w:p>
      <w:pPr>
        <w:spacing w:after="0" w:line="204"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foregoing indemnity is judicially determined to be unavailable to an Indemnified Person other than in accordance with this Agreement, the Company shall contribute to the Liabilities and Expenses paid or payable by such Indemnified Person in such proportion as is appropriate to reflect (i) the relative benefits to the Company, on the one hand, and to the Placement Agent and any other Indemnified Person, on the other hand, of the matters contemplated by this Agreement or (ii) if the allocation provided by the immediately preceding clause is not permitted by applicable law, not only such relative benefits but also the relative fault of the Company, on the one hand, and the Placement Agent and any other Indemnified Person, on the other hand, in connection with the matters as to which such Liabilities or Expenses relate, as well as any other relevant equitable considerations; provided that in no event shall the Company contribute less than the amount necessary to ensure that all Indemnified Persons, in the aggregate, are not liable for any Liabilities and Expenses in excess of the amount of fees actually received by the Placement Agent pursuant to this Agreement. For purposes of this paragraph, the relative benefits to the Company, on the one hand, and to the Placement Agent on the other hand, of the matters contemplated by this Agreement shall be deemed to be in the same proportion as (a) the total value paid or contemplated to be paid to or received or contemplated to be received by the Company in the transaction or transactions that are within the scope of this Agreement, whether or not any such transaction is consummated, bears to (b) the fees paid to the Placement Agent under this Agreement. Notwithstanding the above, no person guilty of fraudulent misrepresentation within the meaning of Section 11(f) of the Securities Act, as amended, shall be entitled to contribution from a party who was not guilty of fraudulent misrepresentation.</w:t>
      </w:r>
    </w:p>
    <w:p>
      <w:pPr>
        <w:spacing w:after="0" w:line="19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2" w:name="page23"/>
    <w:bookmarkEnd w:id="22"/>
    <w:p>
      <w:pPr>
        <w:jc w:val="both"/>
        <w:ind w:left="660" w:firstLine="644"/>
        <w:spacing w:after="0" w:line="258" w:lineRule="auto"/>
        <w:tabs>
          <w:tab w:leader="none" w:pos="158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agrees that no Indemnified Person shall have any liability (whether direct or indirect, in contract or tort or otherwise) to the Company for or in connection with advice or services rendered or to be rendered by any Indemnified Person pursuant to this Agreement, the transactions contemplated thereby or any Indemnified Person’s actions or inactions in connection with any such advice, services or transactions except for Liabilities (and related Expenses) of the Company that are finally judicially determined to have resulted solely from such Indemnified Person’s gross negligence or willful misconduct in connection with any such advice, actions, inactions or services.</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reimbursement, indemnity and contribution obligations of the Company set forth herein shall apply to any modification of this Agreement and shall remain in full force and effect regardless of any termination of, or the completion of any Indemnified Person’s services under or in connection with, this Agreement.</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Section 8. Representations and Indemnities to Survive Delivery</w:t>
      </w:r>
      <w:r>
        <w:rPr>
          <w:rFonts w:ascii="Times New Roman" w:cs="Times New Roman" w:eastAsia="Times New Roman" w:hAnsi="Times New Roman"/>
          <w:sz w:val="18"/>
          <w:szCs w:val="18"/>
          <w:color w:val="auto"/>
        </w:rPr>
        <w:t>. The respective indemnities, agreements, representations, warranties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of the Company or any person controlling the Company, of its officers, and of the Placement Agent set forth in or made pursuant to this Agreement will remain in full force and effect, regardless of any investigation made by or on behalf of the Placement Agent, the Company, or any of its or their partners, officers or directors or any controlling person, as the case may be, and will survive delivery of and payment for the Securities sold hereunder and any termination of this Agreement. A successor to a Placement Agent, or to the Company, its directors or officers or any person controlling the Company, shall be entitled to the benefits of the indemnity, contribution and reimbursement agreements contained in this Agreement.</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Section 9. Notices</w:t>
      </w:r>
      <w:r>
        <w:rPr>
          <w:rFonts w:ascii="Times New Roman" w:cs="Times New Roman" w:eastAsia="Times New Roman" w:hAnsi="Times New Roman"/>
          <w:sz w:val="18"/>
          <w:szCs w:val="18"/>
          <w:color w:val="auto"/>
        </w:rPr>
        <w:t>. All communications hereunder shall be in writing and shall be mailed, hand delivered or e-mailed and confirmed to the parties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to the Placement Agent to the address set forth above, attention: James Siegel, email: </w:t>
      </w:r>
      <w:r>
        <w:rPr>
          <w:rFonts w:ascii="Times New Roman" w:cs="Times New Roman" w:eastAsia="Times New Roman" w:hAnsi="Times New Roman"/>
          <w:sz w:val="18"/>
          <w:szCs w:val="18"/>
          <w:u w:val="single" w:color="auto"/>
          <w:color w:val="auto"/>
        </w:rPr>
        <w:t>jsiegel@maximgrp.com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Sullivan &amp; Worcester LLP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1251 Avenue of the Americas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David E. Danovitch, Esq.</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ddanovitch@sullivanlaw.com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Imunon,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997 Lenox Drive, Suite 100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Lawrenceville, NJ 08648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Stacy R. Lindborg, Ph.D., Chief Executive Officer and Sara Turken, General Counsel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slindborg@imunon.com</w:t>
      </w:r>
      <w:r>
        <w:rPr>
          <w:rFonts w:ascii="Times New Roman" w:cs="Times New Roman" w:eastAsia="Times New Roman" w:hAnsi="Times New Roman"/>
          <w:sz w:val="18"/>
          <w:szCs w:val="18"/>
          <w:color w:val="auto"/>
        </w:rPr>
        <w:t>; sturken@imunon.com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Covington &amp; Burling LLP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One International Place, Suite 1020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Boston, Massachusetts 02110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Michael Riella and Megan Gates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mriella@cov.com; mgates@cov.com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Section 10. Successors</w:t>
      </w:r>
      <w:r>
        <w:rPr>
          <w:rFonts w:ascii="Times New Roman" w:cs="Times New Roman" w:eastAsia="Times New Roman" w:hAnsi="Times New Roman"/>
          <w:sz w:val="18"/>
          <w:szCs w:val="18"/>
          <w:color w:val="auto"/>
        </w:rPr>
        <w:t>. This Agreement will inure to the benefit of and be binding upon the parties hereto, and to the benefit of the employees,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directors and controlling persons referred to in Section 7 hereof, and to their respective successors, and personal representatives, and no other person will have any right or obligation hereunder.</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Section 11. Partial Unenforceability</w:t>
      </w:r>
      <w:r>
        <w:rPr>
          <w:rFonts w:ascii="Times New Roman" w:cs="Times New Roman" w:eastAsia="Times New Roman" w:hAnsi="Times New Roman"/>
          <w:sz w:val="18"/>
          <w:szCs w:val="18"/>
          <w:color w:val="auto"/>
        </w:rPr>
        <w:t>. The invalidity or unenforceability of any section, paragraph or provision of this Agreement shall not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Section 12. Governing Law</w:t>
      </w:r>
      <w:r>
        <w:rPr>
          <w:rFonts w:ascii="Times New Roman" w:cs="Times New Roman" w:eastAsia="Times New Roman" w:hAnsi="Times New Roman"/>
          <w:sz w:val="18"/>
          <w:szCs w:val="18"/>
          <w:color w:val="auto"/>
        </w:rPr>
        <w:t>. This Agreement will be governed by, and construed in accordance with, the laws of the State of New York applicable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made and to be performed entirely in such State, without regard to the conflicts of laws principles thereof. This Agreement may not be assigned by either party without the prior written consent of the other party. This Agreement shall be binding upon and inure to the benefit of the parties hereto, and their respective successors and permitted assigns. Any right to trial by jury with respect to any dispute arising under this Agreement or any transaction or conduct in connection herewith is waived. Any dispute arising under this Agreement may be brought into the courts of the State of New York or into the Federal Court located in New York, New York and, by execution and delivery of this Agreement, the Company and the Placement Agent, respectively, hereby accepts for itself and in respect of its property, generally and unconditionally, the jurisdiction of aforesaid courts. Each party hereto hereby irrevocably waives personal service of process and consents to process being served in any such suit, action or proceeding by delivering a copy thereof via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The Company agrees that a final judgment in any such action, proceeding or counterclaim brought in any such court shall be conclusive and binding upon the Company and may be enforced in any other courts to the jurisdiction of which the Company is or may be subject, by suit upon such judgment. If either party to this Agreement shall commence an action or proceeding to enforce any provisions of a Transaction Document,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General Provisions.</w:t>
      </w:r>
    </w:p>
    <w:p>
      <w:pPr>
        <w:spacing w:after="0" w:line="229" w:lineRule="exact"/>
        <w:rPr>
          <w:sz w:val="20"/>
          <w:szCs w:val="20"/>
          <w:color w:val="auto"/>
        </w:rPr>
      </w:pPr>
    </w:p>
    <w:p>
      <w:pPr>
        <w:jc w:val="both"/>
        <w:ind w:left="660" w:firstLine="644"/>
        <w:spacing w:after="0" w:line="253" w:lineRule="auto"/>
        <w:tabs>
          <w:tab w:leader="none" w:pos="15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of the parties to this Agreement and supersedes all prior written or oral and all contemporaneous oral agreements, understandings and negotiations with respect to the subject matter hereof. Notwithstanding anything herein to the contrary, the engagement letter, dated October 1, 2026 (“</w:t>
      </w:r>
      <w:r>
        <w:rPr>
          <w:rFonts w:ascii="Times New Roman" w:cs="Times New Roman" w:eastAsia="Times New Roman" w:hAnsi="Times New Roman"/>
          <w:sz w:val="18"/>
          <w:szCs w:val="18"/>
          <w:u w:val="single" w:color="auto"/>
          <w:color w:val="auto"/>
        </w:rPr>
        <w:t>Engagement Agreement</w:t>
      </w:r>
      <w:r>
        <w:rPr>
          <w:rFonts w:ascii="Times New Roman" w:cs="Times New Roman" w:eastAsia="Times New Roman" w:hAnsi="Times New Roman"/>
          <w:sz w:val="18"/>
          <w:szCs w:val="18"/>
          <w:color w:val="auto"/>
        </w:rPr>
        <w:t>”), between the Company and the Placement Agent shall continue to be effective and the terms therein shall continue to survive and be enforceable both by the Placement Agent and the Company in accordance with its terms, provided that, in the event of a conflict between the terms of the Engagement Agreement and this Agreement, the terms of this Agreement shall prevail. This Agreement may be executed in two or more counterparts, each one of which shall be an original, with the same effect as if the signatures thereto and hereto were upon the same instrument. Signature pages to the Agreement delivered via facsimile or other electronic image transmission shall be valid and binding for all purposes. This Agreement may not be amended or modified unless in writing by all of the parties hereto, and no condition herein (express or implied) may be waived unless waived in writing by each party whom the condition is meant to benefit. Section headings herein are for the convenience of the parties only and shall not affect the construction or interpretation of this Agreement.</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in connection with the offering of the Securities: (i) the Placement Agent’s responsibility to the Company is solely contractual and commercial in nature, (ii) the Placement Agent has acted at arm’s length, is not an agent of, and owes no fiduciary duties to the Company or any other person, (iii) the Placement Agent owes the Company only those duties and obligations set forth in this Agreement and (iv) the Placement Agent may have interests that differ from those of the Company. The Company waives to the fullest extent permitted by applicable law any claims it may have against the Placement Agent arising from an alleged breach of fiduciary duty in connection with the offering of the Securities.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been intentionally left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below whereupon this instrument, along with all counterparts hereof, shall become a binding agreement in accordance with its terms.</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Stacy R. Lindborg, Ph.D.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Placement Agency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7"/>
          <w:szCs w:val="17"/>
          <w:color w:val="auto"/>
        </w:rPr>
        <w:t>The foregoing Placement Agency Agreement is hereby confirmed and accepted as of the date first above written.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MAXIM GROUP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Placement Agency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October ____, 2026, between Imunon, Inc., a Delaware corporation (the</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either (x)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the date hereof if this</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Agreement is entered into at or prior to 4:00 p.m. (New York City time) on the day hereof or (y)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hereof if this Agreement is entered into at or after 4:01 p.m. (New York City time) on the day hereof.</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shares of Common Stock, including, without limitation, any debt, preferred stock, right, option, warrant or other instrument that is at any time convertible into or exercisable or exchangeable for, or otherwise entitles the holder thereof to receive, shares of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Warrant Shares</w:t>
      </w:r>
      <w:r>
        <w:rPr>
          <w:rFonts w:ascii="Times New Roman" w:cs="Times New Roman" w:eastAsia="Times New Roman" w:hAnsi="Times New Roman"/>
          <w:sz w:val="18"/>
          <w:szCs w:val="18"/>
          <w:color w:val="auto"/>
        </w:rPr>
        <w:t>” means the shares of Common Stock issuable upon exercise of the Common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Warrants</w:t>
      </w:r>
      <w:r>
        <w:rPr>
          <w:rFonts w:ascii="Times New Roman" w:cs="Times New Roman" w:eastAsia="Times New Roman" w:hAnsi="Times New Roman"/>
          <w:sz w:val="18"/>
          <w:szCs w:val="18"/>
          <w:color w:val="auto"/>
        </w:rPr>
        <w:t>” means collectively, the Tranche A Warrants, the Tranche B Warrants, the Tranche C Warrants and the Tranche D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Covington &amp; Burling LLP, with offices located at One International Place, Suite 1020, Boston, Massachusetts 02110.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Warrant</w:t>
      </w:r>
      <w:r>
        <w:rPr>
          <w:rFonts w:ascii="Times New Roman" w:cs="Times New Roman" w:eastAsia="Times New Roman" w:hAnsi="Times New Roman"/>
          <w:sz w:val="18"/>
          <w:szCs w:val="18"/>
          <w:color w:val="auto"/>
        </w:rPr>
        <w:t xml:space="preserve">” means warrants issued to a Purchase in lieu of shares of Common Stock upon exercise of the Purchaser’s Common Warrant if such exercise would cause such Purchaser to beneficially own in excess of 4.99% or, at the Purchaser’s election, 9.99%, of the number of shares of Common Stock outstanding immediately after giving effect to the issuance of shares of Common Stock issuable upon exercise of such Common Warrant,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restricted stock units, options or other equity awards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(other than automatic adjustments pursuant to their terms as in effect on the date of this Agreement) since the date of this Agreement to increase the number of such securities or to decrease the exercise price, exchange price or conversion price of such securities (other than in connection with stock splits or combinations) or to extend the term of such securities (other than the extension of the term of exercise for stock options to employees, officers or directors of the Company pursuant to any stock or option plan described in clause (a) of this definition),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Substantial Investor</w:t>
      </w:r>
      <w:r>
        <w:rPr>
          <w:rFonts w:ascii="Times New Roman" w:cs="Times New Roman" w:eastAsia="Times New Roman" w:hAnsi="Times New Roman"/>
          <w:sz w:val="18"/>
          <w:szCs w:val="18"/>
          <w:color w:val="auto"/>
        </w:rPr>
        <w:t>” means a stockholder that, on the Closing Date, beneficially owns in excess of 19.99% of the Common Stock, as determined in accordance with Section 13d-3 pursuant to the Exchange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Unit Purchase Price</w:t>
      </w:r>
      <w:r>
        <w:rPr>
          <w:rFonts w:ascii="Times New Roman" w:cs="Times New Roman" w:eastAsia="Times New Roman" w:hAnsi="Times New Roman"/>
          <w:sz w:val="18"/>
          <w:szCs w:val="18"/>
          <w:color w:val="auto"/>
        </w:rPr>
        <w:t>” equals $_______, subject to adjustment for reverse and forward stock splits, stock dividends, stock combinations and</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other similar transactions of the Common Stock that occur after the date of this Agreement, provided that the purchase price per Prefunded Warrant shall be the Per Unit Purchase Price minus $0.0001.</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Maxim Group LLC.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w:t>
      </w:r>
      <w:r>
        <w:rPr>
          <w:rFonts w:ascii="Times New Roman" w:cs="Times New Roman" w:eastAsia="Times New Roman" w:hAnsi="Times New Roman"/>
          <w:sz w:val="18"/>
          <w:szCs w:val="18"/>
          <w:color w:val="auto"/>
        </w:rPr>
        <w:t xml:space="preserve">” means, collectively, the Prefunded common stock purchase warrants delivered to the Purchasers at the Closing in accordance with Section 2.2(a) hereof, which Prefunded Warrants shall be exercisable immediately and shall expire when exercised in full,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means the shares of Common Stock issuable upon exercise of the Prefunded Warrants.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means any preliminary prospectus included in the Registration Statement, as originally filed or as part of any amendment thereto, or filed with the Commission pursuant to Rule 424(a) of the rules and regulations of the Commission under the Securities Act.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Prospectus</w:t>
      </w:r>
      <w:r>
        <w:rPr>
          <w:rFonts w:ascii="Times New Roman" w:cs="Times New Roman" w:eastAsia="Times New Roman" w:hAnsi="Times New Roman"/>
          <w:sz w:val="18"/>
          <w:szCs w:val="18"/>
          <w:color w:val="auto"/>
        </w:rPr>
        <w:t>” means (i) the Preliminary Prospectus relating to the Securities that was included in the Registration Statement immediately prior to [___] P.M. (New York City time) on the date hereof and (ii) any free writing prospectus (as defined in the Securities Act) identified on Schedule A hereto, taken together.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filed for the Registration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on Form S-1 with Commission file No. 333-[●] which registers the sale of the Shares, the Warrants, the Exchange Warrants and the Warrant Shares to the Purchasers.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Warrants, the Exchange Warrants and the Warrant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Common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Disclosure Schedules, and shall, where applicable, also include any direct or indirect subsidiary of the Company formed or acquired after the date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Sullivan &amp; Worcester</w:t>
      </w:r>
      <w:r>
        <w:rPr>
          <w:rFonts w:ascii="Times New Roman" w:cs="Times New Roman" w:eastAsia="Times New Roman" w:hAnsi="Times New Roman"/>
          <w:sz w:val="18"/>
          <w:szCs w:val="18"/>
          <w:color w:val="auto"/>
        </w:rPr>
        <w:t>” means Sullivan &amp; Worcester LLP, with offices located at 1251 Avenue of the Americas, New York, New York 10020.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the Pink Open Market, OTCQB or the OTCQX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Warrants</w:t>
      </w:r>
      <w:r>
        <w:rPr>
          <w:rFonts w:ascii="Times New Roman" w:cs="Times New Roman" w:eastAsia="Times New Roman" w:hAnsi="Times New Roman"/>
          <w:sz w:val="18"/>
          <w:szCs w:val="18"/>
          <w:color w:val="auto"/>
        </w:rPr>
        <w:t xml:space="preserve">” means, collectively, the Tranche A common stock purchase warrants delivered to the Purchasers at the Closing in accordance with Section 2.2(a) hereof,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 Warrants</w:t>
      </w:r>
      <w:r>
        <w:rPr>
          <w:rFonts w:ascii="Times New Roman" w:cs="Times New Roman" w:eastAsia="Times New Roman" w:hAnsi="Times New Roman"/>
          <w:sz w:val="18"/>
          <w:szCs w:val="18"/>
          <w:color w:val="auto"/>
        </w:rPr>
        <w:t xml:space="preserve">” means, collectively, the Tranche B common stock purchase warrants delivered to the Purchasers at the Closing in accordance with Section 2.2(a) hereof,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C Warrants</w:t>
      </w:r>
      <w:r>
        <w:rPr>
          <w:rFonts w:ascii="Times New Roman" w:cs="Times New Roman" w:eastAsia="Times New Roman" w:hAnsi="Times New Roman"/>
          <w:sz w:val="18"/>
          <w:szCs w:val="18"/>
          <w:color w:val="auto"/>
        </w:rPr>
        <w:t xml:space="preserve">” means, collectively, the Tranche C common stock purchase warrants delivered to the Purchasers at the Closing in accordance with Section 2.2(a) hereof,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D Warrants</w:t>
      </w:r>
      <w:r>
        <w:rPr>
          <w:rFonts w:ascii="Times New Roman" w:cs="Times New Roman" w:eastAsia="Times New Roman" w:hAnsi="Times New Roman"/>
          <w:sz w:val="18"/>
          <w:szCs w:val="18"/>
          <w:color w:val="auto"/>
        </w:rPr>
        <w:t xml:space="preserve">” means, collectively, the Tranche D common stock purchase warrants delivered to the Purchasers at the Closing in accordance with Section 2.2(a) hereof,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the Exchange Warrants all exhibits and schedules thereto and hereto and any other documents or agreements executed in connection with the transactions contemplated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Equiniti Trust Company, LLC, the current transfer agent of the Company, with a mailing address of 90 Park Avenue, New York, NY 10016, and any successor transfer agent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have the meaning ascribed to such term in Section 4.11(b).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collectively, the Common Warrants and Prefunded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 and Exchange Warrants.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Stockholder Approval</w:t>
      </w:r>
      <w:r>
        <w:rPr>
          <w:rFonts w:ascii="Times New Roman" w:cs="Times New Roman" w:eastAsia="Times New Roman" w:hAnsi="Times New Roman"/>
          <w:sz w:val="18"/>
          <w:szCs w:val="18"/>
          <w:color w:val="auto"/>
        </w:rPr>
        <w:t>” means such approval as may be required by the applicable rules and regulations of the Trading Market (or any successor entity) from the stockholders of the Company with respect to the issuance of all of the Common Warrant Shares upon the exercise of the Common Warrants; provided, that Warrant Stockholder Approval shall not be required if (i) the offering of the Securities is deemed a public offering or (ii) the Pricing Conditions (as defined in the Prospectus) are met.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substantially concurrent with the execution and delivery of this Agreement by the parties hereto, the Company agrees to sell, and the Purchasers, severally and not jointly, agree to purchase, up to an aggregate of [•] units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xml:space="preserve">”), each Unit consisting of one Share (or Prefunded Warrant in lieu thereof), and a Tranche A Warrant to purchase one-half of one share of Common Stock or an Exchange Warrant in lieu thereof, and one Tranche B Warrant, one Tranche C Warrant and one Tranche D Warrant, each to purchase one share of Common Stock or an Exchange Warrant in lieu thereof, collectively, at the Per Unit Purchase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w:t>
      </w:r>
      <w:r>
        <w:rPr>
          <w:rFonts w:ascii="Times New Roman" w:cs="Times New Roman" w:eastAsia="Times New Roman" w:hAnsi="Times New Roman"/>
          <w:sz w:val="18"/>
          <w:szCs w:val="18"/>
          <w:color w:val="auto"/>
        </w:rPr>
        <w:t>r,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Shares such Purchaser may elect to purchase Prefunded Warrants in lieu of Shares in such manner to result in the same aggregate purchase price being paid by such Purchaser to the Company.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at the election of any Purchaser beneficially owning in excess of 4.99% of the Common Stock, 9.99%, 19.99%, or 24.99% only if the Purchaser is an Existing Substantial Investor) of the number of shares of Common Stock outstanding immediately after giving effect to the issuance of the Securities on the Closing Date. Each Purchaser’s Subscription Amount as set forth on the signature page hereto executed by such Purchaser shall be made available for “Delivery Versus Payment” settlement with the Company or its designee. The Company shall deliver to each Purchaser its respective Shares and Warrants as determined pursuant to Section 2.2(a), and the Company and each Purchaser shall deliver the other items set forth in Section 2.2 deliverable at the Closing. Upon satisfaction of the covenants and conditions set forth in Sections 2.2 and 2.3, the Closing shall occur remotely by electronic transfer of the Closing documentation. Unless otherwise directed by the Placement Agent, settlement of the Shares shall occur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the Shares to be issued hereunder to such Purchaser at the Closing (collectively, the “</w:t>
      </w:r>
      <w:r>
        <w:rPr>
          <w:rFonts w:ascii="Times New Roman" w:cs="Times New Roman" w:eastAsia="Times New Roman" w:hAnsi="Times New Roman"/>
          <w:sz w:val="18"/>
          <w:szCs w:val="18"/>
          <w:u w:val="single" w:color="auto"/>
          <w:color w:val="auto"/>
        </w:rPr>
        <w:t>Pre-Settlement Shares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such Pre-Settlement Shares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 Notwithstanding the foregoing, with respect to any Notice(s) of Exercise (as defined in the Prefunded Warrants) delivered on or prior to 12:00 p.m. (New York City time) on the Closing Date, which may be delivered at any time after the time of execution of the this Agreement, the Company agrees to deliver the Prefunded Warrant Shares subject to such notice(s) by 4:00 p.m. (New York City time) on the Closing Date and such date shall be the Warrant Share Delivery Date (as defined in the Prefunded Warrants) for purposes hereunder.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hanging="25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(except as indicated below), the Company shall deliver or cause to be delivered to each Purchaser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w:t>
      </w:r>
    </w:p>
    <w:p>
      <w:pPr>
        <w:spacing w:after="0" w:line="206" w:lineRule="exact"/>
        <w:rPr>
          <w:rFonts w:ascii="Times New Roman" w:cs="Times New Roman" w:eastAsia="Times New Roman" w:hAnsi="Times New Roman"/>
          <w:sz w:val="18"/>
          <w:szCs w:val="18"/>
          <w:color w:val="auto"/>
        </w:rPr>
      </w:pPr>
    </w:p>
    <w:p>
      <w:pPr>
        <w:ind w:left="1500" w:hanging="208"/>
        <w:spacing w:after="0"/>
        <w:tabs>
          <w:tab w:leader="none" w:pos="15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1560" w:hanging="268"/>
        <w:spacing w:after="0"/>
        <w:tabs>
          <w:tab w:leader="none" w:pos="15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in a form reasonably acceptable to the Placement Agent;</w:t>
      </w:r>
    </w:p>
    <w:p>
      <w:pPr>
        <w:spacing w:after="0" w:line="225" w:lineRule="exact"/>
        <w:rPr>
          <w:rFonts w:ascii="Times New Roman" w:cs="Times New Roman" w:eastAsia="Times New Roman" w:hAnsi="Times New Roman"/>
          <w:sz w:val="18"/>
          <w:szCs w:val="18"/>
          <w:color w:val="auto"/>
        </w:rPr>
      </w:pPr>
    </w:p>
    <w:p>
      <w:pPr>
        <w:ind w:left="640" w:firstLine="652"/>
        <w:spacing w:after="0" w:line="282" w:lineRule="auto"/>
        <w:tabs>
          <w:tab w:leader="none" w:pos="16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the Company shall have provided each Purchaser with the Company’s wire instructions, on Company letterhead and executed by the Chief Executive Officer or Chief Financial Officer;</w:t>
      </w:r>
    </w:p>
    <w:p>
      <w:pPr>
        <w:spacing w:after="0" w:line="161" w:lineRule="exact"/>
        <w:rPr>
          <w:rFonts w:ascii="Times New Roman" w:cs="Times New Roman" w:eastAsia="Times New Roman" w:hAnsi="Times New Roman"/>
          <w:sz w:val="18"/>
          <w:szCs w:val="18"/>
          <w:color w:val="auto"/>
        </w:rPr>
      </w:pPr>
    </w:p>
    <w:p>
      <w:pPr>
        <w:jc w:val="both"/>
        <w:ind w:left="640" w:right="20" w:firstLine="652"/>
        <w:spacing w:after="0" w:line="266" w:lineRule="auto"/>
        <w:tabs>
          <w:tab w:leader="none" w:pos="16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such Purchaser’s Subscription Amount divided by the Per Unit Purchase Price, registered in the name of such Purchaser;</w:t>
      </w:r>
    </w:p>
    <w:p>
      <w:pPr>
        <w:spacing w:after="0" w:line="175" w:lineRule="exact"/>
        <w:rPr>
          <w:rFonts w:ascii="Times New Roman" w:cs="Times New Roman" w:eastAsia="Times New Roman" w:hAnsi="Times New Roman"/>
          <w:sz w:val="18"/>
          <w:szCs w:val="18"/>
          <w:color w:val="auto"/>
        </w:rPr>
      </w:pPr>
    </w:p>
    <w:p>
      <w:pPr>
        <w:ind w:left="640" w:firstLine="652"/>
        <w:spacing w:after="0" w:line="282" w:lineRule="auto"/>
        <w:tabs>
          <w:tab w:leader="none" w:pos="155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Tranche A Warrant registered in the name of such Purchaser to purchase up to a number of shares of Common Stock or Exchange Warrants equal to 50% of such Purchaser’s Shares and Prefunded Warrant Shares;</w:t>
      </w:r>
    </w:p>
    <w:p>
      <w:pPr>
        <w:spacing w:after="0" w:line="161"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160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Tranche B Warrant registered in the name of such Purchaser to purchase up to a number of shares of Common Stock or Exchange Warrants equal to 100% of such Purchaser’s Shares and Prefunded Warrant Shares;</w:t>
      </w:r>
    </w:p>
    <w:p>
      <w:pPr>
        <w:spacing w:after="0" w:line="161" w:lineRule="exact"/>
        <w:rPr>
          <w:rFonts w:ascii="Times New Roman" w:cs="Times New Roman" w:eastAsia="Times New Roman" w:hAnsi="Times New Roman"/>
          <w:sz w:val="18"/>
          <w:szCs w:val="18"/>
          <w:color w:val="auto"/>
        </w:rPr>
      </w:pPr>
    </w:p>
    <w:p>
      <w:pPr>
        <w:ind w:left="640" w:firstLine="652"/>
        <w:spacing w:after="0" w:line="282" w:lineRule="auto"/>
        <w:tabs>
          <w:tab w:leader="none" w:pos="165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Tranche C Warrant registered in the name of such Purchaser to purchase up to a number of shares of Common Stock or Exchange Warrants equal to 100% of such Purchaser’s Shares and Prefunded Warrant Shares;</w:t>
      </w:r>
    </w:p>
    <w:p>
      <w:pPr>
        <w:spacing w:after="0" w:line="161" w:lineRule="exact"/>
        <w:rPr>
          <w:rFonts w:ascii="Times New Roman" w:cs="Times New Roman" w:eastAsia="Times New Roman" w:hAnsi="Times New Roman"/>
          <w:sz w:val="18"/>
          <w:szCs w:val="18"/>
          <w:color w:val="auto"/>
        </w:rPr>
      </w:pPr>
    </w:p>
    <w:p>
      <w:pPr>
        <w:ind w:left="640" w:firstLine="652"/>
        <w:spacing w:after="0" w:line="282" w:lineRule="auto"/>
        <w:tabs>
          <w:tab w:leader="none" w:pos="17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Tranche D Warrant registered in the name of such Purchaser to purchase up to a number of shares of Common Stock or Exchange Warrants equal to 100% of such Purchaser’s Shares and Prefunded Warrant Shares;</w:t>
      </w:r>
    </w:p>
    <w:p>
      <w:pPr>
        <w:spacing w:after="0" w:line="161"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61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Purchaser of Prefunded Warrants pursuant to Section 2.1, a Prefunded Warrant registered in the name of such Purchaser to purchase up to a number of shares of Common Stock equal to the portion of such Purchaser’s Subscription Amount applicable to Prefunded Warrant divided by the Per Unit Purchase Price minus $0.0001; and</w:t>
      </w:r>
    </w:p>
    <w:p>
      <w:pPr>
        <w:spacing w:after="0" w:line="175" w:lineRule="exact"/>
        <w:rPr>
          <w:rFonts w:ascii="Times New Roman" w:cs="Times New Roman" w:eastAsia="Times New Roman" w:hAnsi="Times New Roman"/>
          <w:sz w:val="18"/>
          <w:szCs w:val="18"/>
          <w:color w:val="auto"/>
        </w:rPr>
      </w:pPr>
    </w:p>
    <w:p>
      <w:pPr>
        <w:ind w:left="4920" w:right="140" w:hanging="3628"/>
        <w:spacing w:after="0" w:line="532" w:lineRule="auto"/>
        <w:tabs>
          <w:tab w:leader="none" w:pos="154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Prospectus and Prospectus (which may be delivered in accordance with Rule 172 under the Securities Act).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-158750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2" w:name="page33"/>
    <w:bookmarkEnd w:id="32"/>
    <w:p>
      <w:pPr>
        <w:ind w:left="900" w:hanging="25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1500" w:hanging="208"/>
        <w:spacing w:after="0"/>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640" w:firstLine="652"/>
        <w:spacing w:after="0" w:line="282" w:lineRule="auto"/>
        <w:tabs>
          <w:tab w:leader="none" w:pos="156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 designee.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50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79"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156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w:t>
      </w:r>
    </w:p>
    <w:p>
      <w:pPr>
        <w:spacing w:after="0" w:line="207" w:lineRule="exact"/>
        <w:rPr>
          <w:sz w:val="20"/>
          <w:szCs w:val="20"/>
          <w:color w:val="auto"/>
        </w:rPr>
      </w:pPr>
    </w:p>
    <w:p>
      <w:pPr>
        <w:jc w:val="both"/>
        <w:ind w:left="640" w:firstLine="652"/>
        <w:spacing w:after="0" w:line="258" w:lineRule="auto"/>
        <w:tabs>
          <w:tab w:leader="none" w:pos="15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such representation and warranty is made as of a specific date therein, in which case they shall be accurate in all material respects or, to the extent representations or warranties are qualified by materiality or Material Adverse Effect, in all respects) as of such date);</w:t>
      </w:r>
    </w:p>
    <w:p>
      <w:pPr>
        <w:spacing w:after="0" w:line="183" w:lineRule="exact"/>
        <w:rPr>
          <w:rFonts w:ascii="Times New Roman" w:cs="Times New Roman" w:eastAsia="Times New Roman" w:hAnsi="Times New Roman"/>
          <w:sz w:val="18"/>
          <w:szCs w:val="18"/>
          <w:color w:val="auto"/>
        </w:rPr>
      </w:pPr>
    </w:p>
    <w:p>
      <w:pPr>
        <w:ind w:left="640" w:firstLine="652"/>
        <w:spacing w:after="0" w:line="282" w:lineRule="auto"/>
        <w:tabs>
          <w:tab w:leader="none" w:pos="155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55" w:lineRule="auto"/>
        <w:tabs>
          <w:tab w:leader="none" w:pos="15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or the Disclosure Schedules, which SEC Reports and Disclosure Schedules shall be deemed a part hereof and shall qualify any representation or otherwise made herein to the extent of the disclosure contained therein or in the corresponding section of the Disclosure Schedules, the Company hereby makes the following representations and warranties to each Purchaser:</w:t>
      </w:r>
    </w:p>
    <w:p>
      <w:pPr>
        <w:spacing w:after="0" w:line="180" w:lineRule="exact"/>
        <w:rPr>
          <w:sz w:val="20"/>
          <w:szCs w:val="20"/>
          <w:color w:val="auto"/>
        </w:rPr>
      </w:pPr>
    </w:p>
    <w:p>
      <w:pPr>
        <w:jc w:val="both"/>
        <w:ind w:left="660" w:firstLine="644"/>
        <w:spacing w:after="0" w:line="258" w:lineRule="auto"/>
        <w:tabs>
          <w:tab w:leader="none" w:pos="15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in the Disclosure Schedules.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1" w:lineRule="auto"/>
        <w:tabs>
          <w:tab w:leader="none" w:pos="157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 a material adverse effect on the legality, validity or enforceability of any Transaction Document, (ii) a material adverse effect on the results of operations, assets, business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provided, however, that the following shall not be deemed to constitute or be taken into account in determining whether there has been, or would reasonably be expected to be, a Material Adverse Effect: (i) any change in the market price or trading volume of the Company’s stock; (ii) any event, occurrence, circumstance, change or effect resulting from the negotiation, execution, announcement or performance of this Agreement; (iii) any event, occurrence, circumstance, change or effect generally affecting the industry in which the Company operates, or in the economy generally or other general business, financial or market conditions; (iv) any change, circumstance, condition, development, effect, event, occurrence or state of facts arising directly or indirectly from or otherwise relating to any act of terrorism (including cyber-terrorism), war (whether or not declared), national or international calamity, natural disaster, pandemic, epidemic or disease outbreak (including COVID-19) or any other similar event; (v) provided that, any change, circumstance, condition, development, effect, event, occurrence or state of facts referred to in the foregoing clauses may be taken into account in determining whether there is, or would be reasonably expected to be, a Material Adverse Effect to the extent such change, circumstance, condition, development, effect, event, occurrence or state of facts disproportionately affects the Company relative to other participants in the industry in which the Company operates) and no Proceeding has been instituted in any such jurisdiction revoking, limiting or curtailing or seeking to revoke, limit or curtail such power and authority or qualification.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both"/>
        <w:ind w:left="-460" w:firstLine="644"/>
        <w:spacing w:after="0" w:line="253" w:lineRule="auto"/>
        <w:tabs>
          <w:tab w:leader="none" w:pos="4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a committee of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7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Except as set forth in the Disclosure Schedules,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(other than as disclosed in the Registration Statement and the Prospectus),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have or reasonably be expected to result in a Material Adverse Effect.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(iii) application(s) to each applicable Trading Market for the listing of the Shares and Warrant Shares for trading thereon in the time and manner required thereby, (iv) such filings as are required to be made under applicable state securities laws and (v) the Warrant Stockholder Approval, if required (collectively, the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2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Warrant Shares, when issued in accordance with the terms of the Warrants or Exchange Warrants, will be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the Warrants. The Company has prepared and filed the Registration Statement in conformity with the requirements of the Securities Act, which became effective on [•],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Preliminary Prospectus or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Pricing Prospectus, the Prospectus and any amendments or supplements thereto, at the time the Pricing Prospectus, Prospectus or any amendment or supplement thereto, as applicable,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w:t>
      </w:r>
    </w:p>
    <w:p>
      <w:pPr>
        <w:spacing w:after="0" w:line="1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5" w:name="page36"/>
    <w:bookmarkEnd w:id="35"/>
    <w:p>
      <w:pPr>
        <w:jc w:val="both"/>
        <w:ind w:left="-460" w:firstLine="644"/>
        <w:spacing w:after="0" w:line="251" w:lineRule="auto"/>
        <w:tabs>
          <w:tab w:leader="none" w:pos="4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as of the end of the period covered by its most recently filed periodic report under the Exchange Act was set forth in such periodic report. Except as otherwise set forth in the Disclosure Schedules, the Company has not issued any capital stock since its most recently filed periodic report under the Exchange Act, other than pursuant to the exercise of employee stock options or issuance of restricted share grants under the Company’s equity incentive plans or stock option plans, the issuance of Common Stock to employees pursuant to the Company’s employee stock purchase plans and pursuant to the conversion and/or exercise of share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set forth on the Disclosure Schedules attached hereto, and except as disclosed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Common Stock or other securities to any Person (other than the Purchasers). Except as set forth in in the Disclosure Schedules, there are no outstanding securities or instruments of the Company or any Subsidiary with any provision that adjusts the exercise, conversion, exchange or reset price of such security or instrument upon an issuance of the Securities.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Except for the Required Approvals,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4"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since January 1, 2024 (or such shorter period as the Company was required by law or regulation to file such material) (the foregoing materials, including the exhibits thereto and documents incorporated by reference therein, together with the Pricing Prospectus and the Prospectus,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agreements and documents described in the Registration Statement, the Pricing Prospectus, the Prospectus, and the SEC Reports conform in all material respects to the descriptions thereof contained therein and there are no agreements or other documents required by the Securities Act and the rules and regulations thereunder to be described in the Registration Statement, the Pricing Prospectus, the Prospectus or the SEC Reports or to be filed with the Commission as exhibits to the Registration Statement, that have not been so described or filed.</w:t>
      </w:r>
    </w:p>
    <w:p>
      <w:pPr>
        <w:spacing w:after="0" w:line="19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6" w:name="page37"/>
    <w:bookmarkEnd w:id="36"/>
    <w:p>
      <w:pPr>
        <w:jc w:val="both"/>
        <w:ind w:left="4" w:firstLine="644"/>
        <w:spacing w:after="0" w:line="254" w:lineRule="auto"/>
        <w:tabs>
          <w:tab w:leader="none" w:pos="86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except as set forth in the Disclosure Schedules, (i) there has been no event, occurrence or development that has had or that would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w:t>
      </w:r>
    </w:p>
    <w:p>
      <w:pPr>
        <w:spacing w:after="0" w:line="3"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3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equity incentive plans or stock option plans. The Company does not have pending before the Commission any request for confidential treatment of information. Except for the issuance of the Securities contemplated by this Agreement or as set forth in the Disclosure Schedules,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93" w:lineRule="exact"/>
        <w:rPr>
          <w:rFonts w:ascii="Times New Roman" w:cs="Times New Roman" w:eastAsia="Times New Roman" w:hAnsi="Times New Roman"/>
          <w:sz w:val="18"/>
          <w:szCs w:val="18"/>
          <w:color w:val="auto"/>
        </w:rPr>
      </w:pPr>
    </w:p>
    <w:p>
      <w:pPr>
        <w:jc w:val="both"/>
        <w:ind w:left="4" w:firstLine="644"/>
        <w:spacing w:after="0" w:line="269" w:lineRule="auto"/>
        <w:tabs>
          <w:tab w:leader="none" w:pos="894"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Except as set forth in the Disclosure Schedules,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7"/>
          <w:szCs w:val="17"/>
          <w:u w:val="single" w:color="auto"/>
          <w:color w:val="auto"/>
        </w:rPr>
        <w:t>Action</w:t>
      </w:r>
      <w:r>
        <w:rPr>
          <w:rFonts w:ascii="Times New Roman" w:cs="Times New Roman" w:eastAsia="Times New Roman" w:hAnsi="Times New Roman"/>
          <w:sz w:val="17"/>
          <w:szCs w:val="17"/>
          <w:color w:val="auto"/>
        </w:rPr>
        <w:t>”). None of the Actions set forth in the Disclosure Schedules, (i) adversely affects or challenges the legality, validity or enforceability of any of the Transaction Documents or the Securities or (ii) could, if there were an unfavorable decision, have or reasonably be expected to result in a Material Adverse Effect. Except as disclosed in the SEC Reports, neither the Company nor any Subsidiary, nor, to the Company’s knowledge, any director or officer thereof, is or has been in the last five (5) years the subject of any filed Action including a claim of violation of or liability under federal or state securities laws or a claim of breach of fiduciary duty which could have or reasonably be expected to result in a Material Adverse Effect.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81" w:lineRule="exact"/>
        <w:rPr>
          <w:rFonts w:ascii="Times New Roman" w:cs="Times New Roman" w:eastAsia="Times New Roman" w:hAnsi="Times New Roman"/>
          <w:sz w:val="17"/>
          <w:szCs w:val="17"/>
          <w:color w:val="auto"/>
        </w:rPr>
      </w:pPr>
    </w:p>
    <w:p>
      <w:pPr>
        <w:jc w:val="both"/>
        <w:ind w:left="4" w:firstLine="644"/>
        <w:spacing w:after="0" w:line="253" w:lineRule="auto"/>
        <w:tabs>
          <w:tab w:leader="none" w:pos="90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would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that would have a Material Adverse Effect. The Company and its Subsidiaries are in compliance with all applicable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37" w:name="page38"/>
    <w:bookmarkEnd w:id="37"/>
    <w:p>
      <w:pPr>
        <w:jc w:val="both"/>
        <w:ind w:left="-460" w:firstLine="644"/>
        <w:spacing w:after="0" w:line="254" w:lineRule="auto"/>
        <w:tabs>
          <w:tab w:leader="none" w:pos="40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9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applicable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in each of clause (i), (ii) and (iii), the failure to so comply would be reasonably expected to have, individually or in the aggregate, a Material Adverse Effect.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would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8" w:name="page39"/>
    <w:bookmarkEnd w:id="38"/>
    <w:p>
      <w:pPr>
        <w:jc w:val="both"/>
        <w:ind w:left="-460" w:firstLine="644"/>
        <w:spacing w:after="0" w:line="253" w:lineRule="auto"/>
        <w:tabs>
          <w:tab w:leader="none" w:pos="4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reasonably be expected to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Except as set forth in the Disclosure Schedules,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where such action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2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or in the Disclosure Schedules,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2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provide reasonable assurance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9" w:name="page40"/>
    <w:bookmarkEnd w:id="39"/>
    <w:p>
      <w:pPr>
        <w:jc w:val="both"/>
        <w:ind w:left="-460" w:firstLine="644"/>
        <w:spacing w:after="0" w:line="256" w:lineRule="auto"/>
        <w:tabs>
          <w:tab w:leader="none" w:pos="40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fees payable by the Company to the Placement Agent or as set forth in the Pricing Prospectus or Prospectus,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brokerage of finders’ fees or commissions or with respect to any claims made by or on behalf of other Persons for brokerage or finders’ fees or commissions that may be due in connection with the transactions contemplated by the Transaction Documents.</w:t>
      </w:r>
    </w:p>
    <w:p>
      <w:pPr>
        <w:spacing w:after="0" w:line="187"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4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disclosed in the SEC Reports,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disclosed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set forth in the Disclosure Schedules, the Company is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Except as set forth in the SEC Reports,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40" w:name="page41"/>
    <w:bookmarkEnd w:id="40"/>
    <w:p>
      <w:pPr>
        <w:jc w:val="both"/>
        <w:ind w:left="-460" w:firstLine="644"/>
        <w:spacing w:after="0" w:line="258" w:lineRule="auto"/>
        <w:tabs>
          <w:tab w:leader="none" w:pos="4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since the date hereof, directly or indirectly, made any offers or sales of any security or solicited any offers to buy any security, under circumstances that would cause this offering of the Securities to be integrated with prior offerings by the Company for purposes of any applicable stockholder approval provisions of any Trading Market on which any of the securities of the Company are listed or designated.</w:t>
      </w:r>
    </w:p>
    <w:p>
      <w:pPr>
        <w:spacing w:after="0" w:line="183" w:lineRule="exact"/>
        <w:rPr>
          <w:sz w:val="20"/>
          <w:szCs w:val="20"/>
          <w:color w:val="auto"/>
        </w:rPr>
      </w:pPr>
    </w:p>
    <w:p>
      <w:pPr>
        <w:jc w:val="both"/>
        <w:ind w:left="-460" w:firstLine="644"/>
        <w:spacing w:after="0" w:line="252" w:lineRule="auto"/>
        <w:tabs>
          <w:tab w:leader="none" w:pos="5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Disclosure Schedules set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53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subject to permitted extensions,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41" w:name="page42"/>
    <w:bookmarkEnd w:id="41"/>
    <w:p>
      <w:pPr>
        <w:jc w:val="both"/>
        <w:ind w:left="4" w:firstLine="644"/>
        <w:spacing w:after="0" w:line="266" w:lineRule="auto"/>
        <w:tabs>
          <w:tab w:leader="none" w:pos="101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independent registered public accounting firm is WithumSmith+Brown, PC. To the knowledge and belief of the Company, such accounting firm (i) is a registered public accounting firm as required by the Exchange Act and (ii) has expressed its opinion with respect to the financial statements to be included in the Company’s Annual Report for the fiscal year ending December 31, 2025.</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7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97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4.13 hereof and as disclosed in the Registration Statement and the Prospectus),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 except as set forth in the Registration Statement and the Prospectus.</w:t>
      </w:r>
    </w:p>
    <w:p>
      <w:pPr>
        <w:spacing w:after="0" w:line="197" w:lineRule="exact"/>
        <w:rPr>
          <w:rFonts w:ascii="Times New Roman" w:cs="Times New Roman" w:eastAsia="Times New Roman" w:hAnsi="Times New Roman"/>
          <w:sz w:val="18"/>
          <w:szCs w:val="18"/>
          <w:color w:val="auto"/>
        </w:rPr>
      </w:pPr>
    </w:p>
    <w:p>
      <w:pPr>
        <w:jc w:val="both"/>
        <w:ind w:left="4" w:firstLine="644"/>
        <w:spacing w:after="0" w:line="257" w:lineRule="auto"/>
        <w:tabs>
          <w:tab w:leader="none" w:pos="102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spacing w:after="0" w:line="1" w:lineRule="exact"/>
        <w:rPr>
          <w:rFonts w:ascii="Times New Roman" w:cs="Times New Roman" w:eastAsia="Times New Roman" w:hAnsi="Times New Roman"/>
          <w:sz w:val="18"/>
          <w:szCs w:val="18"/>
          <w:color w:val="auto"/>
        </w:rPr>
      </w:pPr>
    </w:p>
    <w:p>
      <w:pPr>
        <w:ind w:left="4" w:hanging="4"/>
        <w:spacing w:after="0" w:line="260" w:lineRule="auto"/>
        <w:tabs>
          <w:tab w:leader="none" w:pos="31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42" w:name="page43"/>
    <w:bookmarkEnd w:id="42"/>
    <w:p>
      <w:pPr>
        <w:jc w:val="both"/>
        <w:ind w:left="4" w:firstLine="644"/>
        <w:spacing w:after="0" w:line="251" w:lineRule="auto"/>
        <w:tabs>
          <w:tab w:leader="none" w:pos="101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As to each product subject to the jurisdiction of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under the Federal Food, Drug and Cosmetic Act, as amended, and the regulations thereunder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if any,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w:t>
      </w:r>
    </w:p>
    <w:p>
      <w:pPr>
        <w:spacing w:after="0" w:line="11"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31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89"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1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To the knowledge of the Company, there has been no material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that would, individually or in the aggregate, have a Material Adverse Effect and (i) the Company and the Subsidiaries have not been notified of, and have no knowledge of any event or condition that would reasonably be expected to result in, any security breach or other compromise to its IT Systems and Data, that would, individually or in the aggregate, have a Material Adverse Effect;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commercially reasonable industry standards and practices.</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91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equity incentive plans and stock option plans was granted (i) in accordance with the terms of the Company’s equity incentive plans and stock option plans and (ii) with an exercise price at least equal to the fair market value of the Common Stock on the date such stock option would be considered granted under GAAP and applicable law. No stock option granted under the Company’s equity incentive plans and stock option plans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9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43" w:name="page44"/>
    <w:bookmarkEnd w:id="43"/>
    <w:p>
      <w:pPr>
        <w:ind w:left="660" w:right="20" w:firstLine="644"/>
        <w:spacing w:after="0" w:line="282" w:lineRule="auto"/>
        <w:tabs>
          <w:tab w:leader="none" w:pos="15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5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left="660" w:firstLine="644"/>
        <w:spacing w:after="0" w:line="253" w:lineRule="auto"/>
        <w:tabs>
          <w:tab w:leader="none" w:pos="155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if an entity, is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a Purchaser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56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an “accredited investor” as defined in Rule 501(a) under the Securities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ind w:left="660" w:firstLine="644"/>
        <w:spacing w:after="0" w:line="261" w:lineRule="auto"/>
        <w:tabs>
          <w:tab w:leader="none" w:pos="156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9" w:lineRule="auto"/>
        <w:tabs>
          <w:tab w:leader="none" w:pos="1552"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Access to Information</w:t>
      </w:r>
      <w:r>
        <w:rPr>
          <w:rFonts w:ascii="Times New Roman" w:cs="Times New Roman" w:eastAsia="Times New Roman" w:hAnsi="Times New Roman"/>
          <w:sz w:val="17"/>
          <w:szCs w:val="17"/>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in connection with its decision to purchase the Securities, it is relying solely upon the SEC Reports and the Prospectus and the documents incorporated by reference therein.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75" w:lineRule="exact"/>
        <w:rPr>
          <w:rFonts w:ascii="Times New Roman" w:cs="Times New Roman" w:eastAsia="Times New Roman" w:hAnsi="Times New Roman"/>
          <w:sz w:val="17"/>
          <w:szCs w:val="17"/>
          <w:color w:val="auto"/>
        </w:rPr>
      </w:pPr>
    </w:p>
    <w:p>
      <w:pPr>
        <w:jc w:val="both"/>
        <w:ind w:left="660" w:firstLine="644"/>
        <w:spacing w:after="0" w:line="252" w:lineRule="auto"/>
        <w:tabs>
          <w:tab w:leader="none" w:pos="153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If all or any portion of a Warrant is exercised at a time when there is an effective registration statement to cover the issuance or resale of the Warrant Shares or if the Warrant is exercised via cashless exercise, the Warrant Shares issued pursuant to any such exercise shall be issued free of all legends. If at any time following the date hereof the Registration Statement (or any subsequent registration statement registering the sale or resale of the Warrant Shares) is not effective or is not otherwise available for the sale or resale of the Warrant Shares, the Company shall timely notify the holders of the Warrants and Exchange Warrants in writing that such registration statement is not then effective and thereafter shall promptly notify such holders when the registration statement is effective again or a new registration statement is effective and available for the sale or resale of the Warrant Shares (it being understood and agreed that the foregoing shall not limit the ability of the Company to issue, or any Purchaser to sell, any of the Warrant Shares in compliance with applicable federal and state securities laws). The Company shall use reasonable best efforts to keep a registration statement (including the Registration Statement) registering the issuance or resale of the Warrant Shares and Exchange Warrants effective during the term of the Warrants and Exchange Warrants.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the earliest of the time that (i) no Purchaser owns Securities or (ii) the Common Warrants have expired, the Company covenants to timely file (or obtain extensions in respect thereof and file within the applicable grace period) all reports required to be filed by the Company after the date hereof pursuant to the Exchange Act.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Securities Laws Disclosure; Publicity</w:t>
      </w:r>
      <w:r>
        <w:rPr>
          <w:rFonts w:ascii="Times New Roman" w:cs="Times New Roman" w:eastAsia="Times New Roman" w:hAnsi="Times New Roman"/>
          <w:sz w:val="17"/>
          <w:szCs w:val="17"/>
          <w:color w:val="auto"/>
        </w:rPr>
        <w:t>. The Company shall (a) by the Disclosure Time, issue a press release disclosing the material terms of the transactions contemplated hereby, and (b) file a Current Report with respect thereto on Form 8-K, including the Transaction Documents as exhibits thereto (to the extent not previously filed as an exhibit to the Registration Statement),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Each Purchaser shall not issue any press release with respect to the transactions contemplated hereby without the prior consent of the Company (which consent shall not be unreasonably withheld).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Stockholder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Except as set forth in the Pricing Prospectus and Prospectus, the Company shall use the net proceeds from the sale of the Securities hereunder for general corporate, capital expenditures and working capital purposes and shall not use such proceeds: (a) for the satisfaction of any portion of the Company’s Indebtedness (other than payment of trade payables in the ordinary course of the Company’s business and prior practices), (b) for the redemption of any shares of Common Stock or Common Stock Equivalents, or (c) in violation of FCPA or OFAC regulations.</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stockholders,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stockholders,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or compromise, or consent to the entry of judgment in, an Action or Proceeding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Pre-funded Warrant Shares pursuant to any exercise of the Prefunded Warrants.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commercially reasonable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the Common Stock on a Trading Market and will comply in all respects with the Company’s reporting, filing and other obligations under the bylaws or rules of the Trading Market. The Company agrees to use commercially reasonable best efforts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Subsequent Equity Sales.</w:t>
      </w:r>
    </w:p>
    <w:p>
      <w:pPr>
        <w:spacing w:after="0" w:line="225" w:lineRule="exact"/>
        <w:rPr>
          <w:sz w:val="20"/>
          <w:szCs w:val="20"/>
          <w:color w:val="auto"/>
        </w:rPr>
      </w:pPr>
    </w:p>
    <w:p>
      <w:pPr>
        <w:jc w:val="both"/>
        <w:ind w:left="660" w:firstLine="644"/>
        <w:spacing w:after="0" w:line="258" w:lineRule="auto"/>
        <w:tabs>
          <w:tab w:leader="none" w:pos="157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(i) ninety (90) days after the Closing Date if the aggregate gross proceeds received by the Company hereunder equal or exceed $10,000,000 or (ii) forty-five (45) days after the Closing Date if the aggregate gross proceeds received by the Company hereunder are less than $10,000,000, neither the Company nor any Subsidiary shall (i) issue, enter into any agreement to issue or announce the issuance or proposed issuance of any shares of Common Stock or Common Stock Equivalents or (ii) file any registration statement or amendment or supplement thereto, other than the Prospectus or filing a registration statement on Form S-8 in connection with any employee benefit plan.</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70" w:lineRule="auto"/>
        <w:tabs>
          <w:tab w:leader="none" w:pos="1573"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date hereof until one hundred eighty (180) days after the Closing Date, the Company shall be prohibited from effecting or entering into an agreement to effect any issuance by the Company or any of its Subsidiaries of Common Stock or Common Stock Equivalents (or a combination of units thereof) involving a Variable Rate Transaction, provided however, that 60 days following the Closing Date, the Company may enter into and/or issue Common Stock in an “at-the-market” offering. “</w:t>
      </w:r>
      <w:r>
        <w:rPr>
          <w:rFonts w:ascii="Times New Roman" w:cs="Times New Roman" w:eastAsia="Times New Roman" w:hAnsi="Times New Roman"/>
          <w:sz w:val="17"/>
          <w:szCs w:val="17"/>
          <w:u w:val="single" w:color="auto"/>
          <w:color w:val="auto"/>
        </w:rPr>
        <w:t>Variable Rate Transaction</w:t>
      </w:r>
      <w:r>
        <w:rPr>
          <w:rFonts w:ascii="Times New Roman" w:cs="Times New Roman" w:eastAsia="Times New Roman" w:hAnsi="Times New Roman"/>
          <w:sz w:val="17"/>
          <w:szCs w:val="17"/>
          <w:color w:val="auto"/>
        </w:rPr>
        <w:t>” means a transaction in which the Company</w:t>
      </w:r>
    </w:p>
    <w:p>
      <w:pPr>
        <w:spacing w:after="0" w:line="2" w:lineRule="exact"/>
        <w:rPr>
          <w:rFonts w:ascii="Times New Roman" w:cs="Times New Roman" w:eastAsia="Times New Roman" w:hAnsi="Times New Roman"/>
          <w:sz w:val="17"/>
          <w:szCs w:val="17"/>
          <w:color w:val="auto"/>
        </w:rPr>
      </w:pPr>
    </w:p>
    <w:p>
      <w:pPr>
        <w:jc w:val="both"/>
        <w:ind w:left="660" w:hanging="4"/>
        <w:spacing w:after="0" w:line="251" w:lineRule="auto"/>
        <w:tabs>
          <w:tab w:leader="none" w:pos="88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Common Stock or (ii) enters into, or effects a transaction under, any agreement, including, but not limited to, an equity line of credit or an “at-the-market offering”, whereby the Company may issue securities at a future determined price; provided, however, that any issuance of securities to Streeterville Capital, LLC or an affiliate thereof shall not be deemed a Variable Rate Transaction. Any Purchaser shall be entitled to obtain injunctive relief against the Company to preclude any such issuance, which remedy shall be in addition to any right to collect damages.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left="660" w:firstLine="644"/>
        <w:spacing w:after="0" w:line="266" w:lineRule="auto"/>
        <w:tabs>
          <w:tab w:leader="none" w:pos="156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4.11 shall not apply (i) in respect of an Exempt Issuance, except that no Variable Rate Transaction shall be an Exempt Issuance, or (ii) to the reset of the conversion or exercise price of any currently outstanding security pursuant to its terms as in effect on the date of this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Transaction Documents set forth the totality of the procedures required of the Purchasers in order to exercise the Warrants and Exchange Warrants. No additional legal opinion, other information or instructions shall be required of the Purchasers to exercise their Warrants or the Exchange Warrants. Without limiting the preceding sentences, no ink-original Notice of Exercise shall be required, nor shall any medallion guarantee (or other type of guarantee or notarization) of any Notice of Exercise form be required in order to exercise the Warrants or the Exchange Warrants. The Company shall honor exercises of the Warrants and the Exchange Warrants and shall deliver Warrant Shares in accordance with the terms, conditions and time periods set forth in the Transaction Documents.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Warrant Stockholder Approval</w:t>
      </w:r>
      <w:r>
        <w:rPr>
          <w:rFonts w:ascii="Times New Roman" w:cs="Times New Roman" w:eastAsia="Times New Roman" w:hAnsi="Times New Roman"/>
          <w:sz w:val="18"/>
          <w:szCs w:val="18"/>
          <w:color w:val="auto"/>
        </w:rPr>
        <w:t>. If Warrant Stockholder Approval is required, the Company shall hold an annual or special meeting of stockholders on or prior to the ninetieth (90th) day following the Closing Date for the purpose of obtaining Warrant Stockholder Approval, with the recommendation of the Board of Directors that such proposal be approved, and the Company shall solicit proxies from its stockholders in connection therewith in the same manner as all other management proposals in such proxy statement, and all management-appointed proxyholders shall vote their proxies in favor of such proposal. The Company shall use its reasonable best efforts to obtain Warrant Stockholder Approval. If the Company does not obtain Warrant Stockholder Approval at the first meeting, the Company shall call a meeting every ninety (90) days thereafter to seek Warrant Stockholder Approval until the earlier of the date on which Warrant Stockholder Approval is obtained and the date on which the Common Warrants are no longer outstanding. The Company shall file a Current Report on Form 8-K within one (1) Trading Day after Warrant Stockholder Approval is obtained.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Times New Roman" w:cs="Times New Roman" w:eastAsia="Times New Roman" w:hAnsi="Times New Roman"/>
          <w:sz w:val="18"/>
          <w:szCs w:val="18"/>
          <w:color w:val="auto"/>
        </w:rPr>
        <w:t>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Preliminary Prospectus, Pricing Prospectus, and the Prospectus,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attached hereto on a day that is not a Trading Day or later than 5:30 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stockholders,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(including any electronic signature covered by the U.S. federal ESIGN Act of 2000, Uniform Electronic Transactions Act, the Electronic Signatures and Records Act or other applicable law, e.g., www.docusign.com), such signature shall create a valid and binding obligation of the party executing (or on whose behalf such signature is executed) with the same force and effect as if such “.pdf” signature page were an original thereof.</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Sullivan &amp; Worcester LLP. Sullivan &amp; Worcester LLP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 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22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Address for Notice:</w:t>
            </w:r>
          </w:p>
        </w:tc>
        <w:tc>
          <w:tcPr>
            <w:tcW w:w="580" w:type="dxa"/>
            <w:vAlign w:val="bottom"/>
          </w:tcPr>
          <w:p>
            <w:pPr>
              <w:spacing w:after="0"/>
              <w:rPr>
                <w:sz w:val="17"/>
                <w:szCs w:val="17"/>
                <w:color w:val="auto"/>
              </w:rPr>
            </w:pPr>
          </w:p>
        </w:tc>
      </w:tr>
      <w:tr>
        <w:trPr>
          <w:trHeight w:val="218"/>
        </w:trPr>
        <w:tc>
          <w:tcPr>
            <w:tcW w:w="5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997 Lenox Drive, Suite 100</w:t>
            </w:r>
          </w:p>
        </w:tc>
      </w:t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Lawrenceville, NJ 08648</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Stacy R. Lindborg, Ph.D.</w:t>
            </w:r>
          </w:p>
        </w:tc>
        <w:tc>
          <w:tcPr>
            <w:tcW w:w="220" w:type="dxa"/>
            <w:vAlign w:val="bottom"/>
          </w:tcPr>
          <w:p>
            <w:pPr>
              <w:spacing w:after="0"/>
              <w:rPr>
                <w:sz w:val="16"/>
                <w:szCs w:val="16"/>
                <w:color w:val="auto"/>
              </w:rPr>
            </w:pPr>
          </w:p>
        </w:tc>
        <w:tc>
          <w:tcPr>
            <w:tcW w:w="20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Attn: [●]</w:t>
            </w:r>
          </w:p>
        </w:tc>
      </w:t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22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w:t>
            </w: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With a copy to (which shall not constitute notice)</w:t>
            </w: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1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Covington &amp; Burling LLP</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International Place, Suite 1020</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Boston, Massachusetts 02110</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Michael Riella and Megan Gates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mriella@cov.com; mgates@cov.com</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FOR PURCHASERS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t>[PURCHASER SIGNATURE PAGE TO IMNN SECURITIES PURCHASE AGREEMENT]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Prefunded Warrant Shares: 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19.99%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24.99%</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Tranche A Warrant Shares: __________________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Tranche B Warrant Shares: __________________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Tranche C Warrant Shares: __________________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Tranche D Warrant Shares: __________________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w:t>
      </w:r>
    </w:p>
    <w:p>
      <w:pPr>
        <w:spacing w:after="0" w:line="225" w:lineRule="exact"/>
        <w:rPr>
          <w:sz w:val="20"/>
          <w:szCs w:val="20"/>
          <w:color w:val="auto"/>
        </w:rPr>
      </w:pPr>
    </w:p>
    <w:p>
      <w:pPr>
        <w:jc w:val="both"/>
        <w:ind w:firstLine="656"/>
        <w:spacing w:after="0" w:line="257" w:lineRule="auto"/>
        <w:tabs>
          <w:tab w:leader="none" w:pos="859" w:val="left"/>
        </w:tabs>
        <w:numPr>
          <w:ilvl w:val="0"/>
          <w:numId w:val="5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either (x) the first</w:t>
      </w:r>
    </w:p>
    <w:p>
      <w:pPr>
        <w:spacing w:after="0" w:line="186" w:lineRule="auto"/>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the date of this Agreement if this Agreement is entered into at or prior to 4:00 p.m. (New York City time) on the day hereof or</w:t>
      </w:r>
    </w:p>
    <w:p>
      <w:pPr>
        <w:spacing w:after="0" w:line="1" w:lineRule="exact"/>
        <w:rPr>
          <w:sz w:val="20"/>
          <w:szCs w:val="20"/>
          <w:color w:val="auto"/>
        </w:rPr>
      </w:pPr>
    </w:p>
    <w:p>
      <w:pPr>
        <w:jc w:val="both"/>
        <w:ind w:firstLine="8"/>
        <w:spacing w:after="0" w:line="252" w:lineRule="auto"/>
        <w:tabs>
          <w:tab w:leader="none" w:pos="26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(2nd) Trading Day following the date of this of this Agreement if this Agreement is entered into at or after 4:01 p.m. (New York City time) on the day hereof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Prefunded Warrant and Exchange Warrant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Tranche A, Tranche B, Tranche C and Tranche D Warrant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TRANCHE [A][B][C][D] WARRANT</w:t>
      </w:r>
      <w:r>
        <w:rPr>
          <w:rFonts w:ascii="Times New Roman" w:cs="Times New Roman" w:eastAsia="Times New Roman" w:hAnsi="Times New Roman"/>
          <w:sz w:val="29"/>
          <w:szCs w:val="29"/>
          <w:color w:val="auto"/>
          <w:vertAlign w:val="superscript"/>
        </w:rPr>
        <w:t>1</w:t>
      </w:r>
    </w:p>
    <w:p>
      <w:pPr>
        <w:jc w:val="center"/>
        <w:spacing w:after="0"/>
        <w:rPr>
          <w:sz w:val="20"/>
          <w:szCs w:val="20"/>
          <w:color w:val="auto"/>
        </w:rPr>
      </w:pPr>
      <w:r>
        <w:rPr>
          <w:rFonts w:ascii="Times New Roman" w:cs="Times New Roman" w:eastAsia="Times New Roman" w:hAnsi="Times New Roman"/>
          <w:sz w:val="18"/>
          <w:szCs w:val="18"/>
          <w:b w:val="1"/>
          <w:bCs w:val="1"/>
          <w:color w:val="auto"/>
        </w:rPr>
        <w:t>TO PURCHASE SHARES OF COMMON STOCK OR EXCHANGE WARRANTS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9" w:lineRule="exact"/>
        <w:rPr>
          <w:sz w:val="20"/>
          <w:szCs w:val="20"/>
          <w:color w:val="auto"/>
        </w:rPr>
      </w:pPr>
    </w:p>
    <w:p>
      <w:pPr>
        <w:spacing w:after="0"/>
        <w:tabs>
          <w:tab w:leader="none" w:pos="8960" w:val="left"/>
        </w:tabs>
        <w:rPr>
          <w:sz w:val="20"/>
          <w:szCs w:val="20"/>
          <w:color w:val="auto"/>
        </w:rPr>
      </w:pPr>
      <w:r>
        <w:rPr>
          <w:rFonts w:ascii="Times New Roman" w:cs="Times New Roman" w:eastAsia="Times New Roman" w:hAnsi="Times New Roman"/>
          <w:sz w:val="18"/>
          <w:szCs w:val="18"/>
          <w:color w:val="auto"/>
        </w:rPr>
        <w:t>Warrant Shares: [●] _________</w:t>
      </w:r>
      <w:r>
        <w:rPr>
          <w:sz w:val="20"/>
          <w:szCs w:val="20"/>
          <w:color w:val="auto"/>
        </w:rPr>
        <w:tab/>
      </w:r>
      <w:r>
        <w:rPr>
          <w:rFonts w:ascii="Times New Roman" w:cs="Times New Roman" w:eastAsia="Times New Roman" w:hAnsi="Times New Roman"/>
          <w:sz w:val="18"/>
          <w:szCs w:val="18"/>
          <w:color w:val="auto"/>
        </w:rPr>
        <w:t>Initial Exercise Date: [●], 2026</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THIS TRANCHE [A][B][C][D] WARRANT TO PURCHASE SHARES OF COMMON STOCK OR EXCHANGE WARRANTS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the Termination Date (as defined in Section 1 below) but not thereafter, to subscribe for and purchase from Imunon, Inc., a Delaware corporation (the</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either (x)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or (y) warrants to purchase [●] shares of Common Stock for an exercise price of $0.0001 (the “</w:t>
      </w:r>
      <w:r>
        <w:rPr>
          <w:rFonts w:ascii="Times New Roman" w:cs="Times New Roman" w:eastAsia="Times New Roman" w:hAnsi="Times New Roman"/>
          <w:sz w:val="18"/>
          <w:szCs w:val="18"/>
          <w:u w:val="single" w:color="auto"/>
          <w:color w:val="auto"/>
        </w:rPr>
        <w:t>Exchange Warrants</w:t>
      </w:r>
      <w:r>
        <w:rPr>
          <w:rFonts w:ascii="Times New Roman" w:cs="Times New Roman" w:eastAsia="Times New Roman" w:hAnsi="Times New Roman"/>
          <w:sz w:val="18"/>
          <w:szCs w:val="18"/>
          <w:color w:val="auto"/>
        </w:rPr>
        <w:t>”), with such choice between Warrant Shares and Exchange Warrants determined by the Beneficial Ownership Limitation (as defined below). The purchase price of one Warrant Share under this Warrant shall be equal to the Exercise Price, as defined in Section 2(b). The purchase price of one Exchange Warrant under this Warrant shall be equal to the Exercise Price, as defined in Section 2(b), minus $0.0001.</w:t>
      </w:r>
    </w:p>
    <w:p>
      <w:pPr>
        <w:spacing w:after="0" w:line="20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This Warrant shall initially be issued and maintained in the form of a security held in book-entry form, and the Depository Trust Company, or its nominee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shall initially be the sole registered holder of this Warrant, unless a Holder elects to receive a Warrant in certificated form pursuant to the terms of the Warrant Agency Agreement, in which case this sentence shall not apply.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 2026, among the Company and the purchasers signatory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Agency Agreement</w:t>
      </w:r>
      <w:r>
        <w:rPr>
          <w:rFonts w:ascii="Times New Roman" w:cs="Times New Roman" w:eastAsia="Times New Roman" w:hAnsi="Times New Roman"/>
          <w:sz w:val="18"/>
          <w:szCs w:val="18"/>
          <w:color w:val="auto"/>
        </w:rPr>
        <w:t>” means that certain warrant agency agreement, dated on [●], 2026, between the Company and the Warrant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means the Transfer Agent and any successor warrant agent of the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Stockholder Approval</w:t>
      </w:r>
      <w:r>
        <w:rPr>
          <w:rFonts w:ascii="Times New Roman" w:cs="Times New Roman" w:eastAsia="Times New Roman" w:hAnsi="Times New Roman"/>
          <w:sz w:val="18"/>
          <w:szCs w:val="18"/>
          <w:color w:val="auto"/>
        </w:rPr>
        <w:t>” means the effective date of stockholder approval of the issuance of the Warrant Shares upon exercise of the Warrants.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Tranche A Warrants:]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“Termination Date” means the earlier of (i) 5:00 p.m. (New York City time) on the five-year anniversary of the Initial Exercise Date or the Warrant Stockholder Approval, as applicable, and (ii) the Trading Day that is 30 Trading Days after the Company publicly announces, by press release, Form 8-K filing or otherwise (the “</w:t>
      </w:r>
      <w:r>
        <w:rPr>
          <w:rFonts w:ascii="Times New Roman" w:cs="Times New Roman" w:eastAsia="Times New Roman" w:hAnsi="Times New Roman"/>
          <w:sz w:val="18"/>
          <w:szCs w:val="18"/>
          <w:u w:val="single" w:color="auto"/>
          <w:color w:val="auto"/>
        </w:rPr>
        <w:t>Public Announcement</w:t>
      </w:r>
      <w:r>
        <w:rPr>
          <w:rFonts w:ascii="Times New Roman" w:cs="Times New Roman" w:eastAsia="Times New Roman" w:hAnsi="Times New Roman"/>
          <w:sz w:val="18"/>
          <w:szCs w:val="18"/>
          <w:color w:val="auto"/>
        </w:rPr>
        <w:t>”), the secondary endpoint readout (defined as ORR, time to second line therapy, R0 Surgical Response, or Chemotherapy Response of 3) based on 75 or more OVATION-3 patients; provided that the daily VWAP of the Common Stock, as reported by Bloomberg, equals or exceeds 300% of the Exercise Price for 30 consecutive Trading Days commencing on the first Trading Day after the Public Announcement was made.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Tranche B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3" w:lineRule="exact"/>
        <w:rPr>
          <w:sz w:val="20"/>
          <w:szCs w:val="20"/>
          <w:color w:val="auto"/>
        </w:rPr>
      </w:pPr>
    </w:p>
    <w:p>
      <w:pPr>
        <w:ind w:firstLine="8"/>
        <w:spacing w:after="0" w:line="195" w:lineRule="auto"/>
        <w:tabs>
          <w:tab w:leader="none" w:pos="124"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form is used for each of the Tranche A, Tranche B, Tranche C and Tranche D Warrants. For each tranche, insert the applicable tranche letter where indicated and complete or delete the bracketed provisions as instructed in the footnotes below.</w:t>
      </w:r>
    </w:p>
    <w:p>
      <w:pPr>
        <w:spacing w:after="0" w:line="24" w:lineRule="exact"/>
        <w:rPr>
          <w:sz w:val="20"/>
          <w:szCs w:val="20"/>
          <w:color w:val="auto"/>
        </w:rPr>
      </w:pPr>
    </w:p>
    <w:p>
      <w:pPr>
        <w:ind w:firstLine="8"/>
        <w:spacing w:after="0" w:line="195" w:lineRule="auto"/>
        <w:tabs>
          <w:tab w:leader="none" w:pos="121"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Tranche A Warrants: insert the number of shares equal to fifty percent (50%) of the sum of the shares of Common Stock and Pre-Funded Warrant Shares purchased by the Holder.</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Tranche B, Tranche C and Tranche D Warrants: insert the number of shares equal to one hundred percent (100%) of such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“Termination Date” means the earlier of (i) 5:00 p.m. (New York City time) on the five-year anniversary of the Initial Exercise Date or the Warrant Stockholder Approval, as applicable, and (ii) the Trading Day that is 30 Trading Days after the Company publicly announces, by press release, Form 8-K filing or otherwise (the “</w:t>
      </w:r>
      <w:r>
        <w:rPr>
          <w:rFonts w:ascii="Times New Roman" w:cs="Times New Roman" w:eastAsia="Times New Roman" w:hAnsi="Times New Roman"/>
          <w:sz w:val="18"/>
          <w:szCs w:val="18"/>
          <w:u w:val="single" w:color="auto"/>
          <w:color w:val="auto"/>
        </w:rPr>
        <w:t>Public Announcement</w:t>
      </w:r>
      <w:r>
        <w:rPr>
          <w:rFonts w:ascii="Times New Roman" w:cs="Times New Roman" w:eastAsia="Times New Roman" w:hAnsi="Times New Roman"/>
          <w:sz w:val="18"/>
          <w:szCs w:val="18"/>
          <w:color w:val="auto"/>
        </w:rPr>
        <w:t>”), the secondary endpoint readout (defined as ORR, time to second line therapy, R0 Surgical Response, or Chemotherapy Response of 3) based on 220 or more OVATION-3 patients; provided that the daily VWAP of the Common Stock, as reported by Bloomberg, equals or exceeds 300% of the Exercise Price for 30 consecutive Trading Days commencing on the first Trading Day after the Public Announcement was made.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Tranche C Warrants:]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“Termination Date” means the earliest of (i) 5:00 p.m. (New York City time) on the five-year anniversary of the Initial Exercise Date or the Warrant Stockholder Approval, as applicable, (ii) the Trading Day that is 30 Trading Days after the Company publicly announces, by press release, Form 8-K filing or otherwise (the “</w:t>
      </w:r>
      <w:r>
        <w:rPr>
          <w:rFonts w:ascii="Times New Roman" w:cs="Times New Roman" w:eastAsia="Times New Roman" w:hAnsi="Times New Roman"/>
          <w:sz w:val="18"/>
          <w:szCs w:val="18"/>
          <w:u w:val="single" w:color="auto"/>
          <w:color w:val="auto"/>
        </w:rPr>
        <w:t>Public Announcement</w:t>
      </w:r>
      <w:r>
        <w:rPr>
          <w:rFonts w:ascii="Times New Roman" w:cs="Times New Roman" w:eastAsia="Times New Roman" w:hAnsi="Times New Roman"/>
          <w:sz w:val="18"/>
          <w:szCs w:val="18"/>
          <w:color w:val="auto"/>
        </w:rPr>
        <w:t>”), full enrollment of the OVATION-3 trial, no evidence of futility and an independent data monitoring committee recommendation to continue the trial; provided that the daily VWAP of the Common Stock, as reported by Bloomberg, equals or exceeds 300% of the Exercise Price for 30 consecutive Trading Days commencing on the first Trading Day after the Public Announcement was made, or (iii) the Trading Day that is 30 Trading Days after the Public Announcement of the interim analysis at 60% of intent-to-treat (“</w:t>
      </w:r>
      <w:r>
        <w:rPr>
          <w:rFonts w:ascii="Times New Roman" w:cs="Times New Roman" w:eastAsia="Times New Roman" w:hAnsi="Times New Roman"/>
          <w:sz w:val="18"/>
          <w:szCs w:val="18"/>
          <w:u w:val="single" w:color="auto"/>
          <w:color w:val="auto"/>
        </w:rPr>
        <w:t>ITT</w:t>
      </w:r>
      <w:r>
        <w:rPr>
          <w:rFonts w:ascii="Times New Roman" w:cs="Times New Roman" w:eastAsia="Times New Roman" w:hAnsi="Times New Roman"/>
          <w:sz w:val="18"/>
          <w:szCs w:val="18"/>
          <w:color w:val="auto"/>
        </w:rPr>
        <w:t>”) events meeting the FDA aligned, pre-specified threshold for success on the overall survival primary endpoint in the OVATION-3 trial.</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Tranche D Warrants:]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“Termination Date” means the earlier of (i) 5:00 p.m. (New York City time) on the seven-year anniversary of the Initial Exercise Date or the Warrant Stockholder Approval, as applicable, and (ii) the Trading Day that is 30 Trading Days after the Company publicly announces, by press release, Form 8-K filing or otherwise (the “</w:t>
      </w:r>
      <w:r>
        <w:rPr>
          <w:rFonts w:ascii="Times New Roman" w:cs="Times New Roman" w:eastAsia="Times New Roman" w:hAnsi="Times New Roman"/>
          <w:sz w:val="18"/>
          <w:szCs w:val="18"/>
          <w:u w:val="single" w:color="auto"/>
          <w:color w:val="auto"/>
        </w:rPr>
        <w:t>Public Announcement</w:t>
      </w:r>
      <w:r>
        <w:rPr>
          <w:rFonts w:ascii="Times New Roman" w:cs="Times New Roman" w:eastAsia="Times New Roman" w:hAnsi="Times New Roman"/>
          <w:sz w:val="18"/>
          <w:szCs w:val="18"/>
          <w:color w:val="auto"/>
        </w:rPr>
        <w:t>”), the positive final overall survival primary endpoint with a p-value below the FDA-agreed threshold for approval.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1" w:lineRule="auto"/>
        <w:tabs>
          <w:tab w:leader="none" w:pos="149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xml:space="preserve">.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or Exchange Warrants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or Exchange Warrants purchasable hereunder shall have the effect of lowering the outstanding number of Warrant Shares purchasable hereunder in an amount equal to the applicable number of Warrant Shares or Exchange Warrants purchased as set forth in the applicable Notice(s) of Exercise. The Holder and the Company shall maintain records showing the number of Warrant Shares and Exchange Warrants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assignee, by acceptance of this Warrant, acknowledge and agree that, by reason of the provisions of this paragraph, following the purchase of a portion of the Warrant Shares or Exchange Warrants hereunder, the number of Warrant Shares available for purchase hereunder at any given time may be less than the amount stated on the face hereof. Notwithstanding the foregoing in this Section 2(a), a Holder, whose interest in this Warrant is a beneficial interest in certificate(s) representing this Warrant held in book-entry form through DTC, shall effect exercises made pursuant to this Section 2(a) by delivering to DTC the appropriate instruction form for exercise, complying with the procedures to effect exercise that are required by DTC, subject to a Holder’s right to elect to receive a Warrant in certificated form pursuant to the terms of the Warrant Agency Agreement, in which case this sentence shall not apply.</w:t>
      </w:r>
    </w:p>
    <w:p>
      <w:pPr>
        <w:spacing w:after="0" w:line="208" w:lineRule="exact"/>
        <w:rPr>
          <w:rFonts w:ascii="Times New Roman" w:cs="Times New Roman" w:eastAsia="Times New Roman" w:hAnsi="Times New Roman"/>
          <w:sz w:val="18"/>
          <w:szCs w:val="18"/>
          <w:color w:val="auto"/>
        </w:rPr>
      </w:pPr>
    </w:p>
    <w:p>
      <w:pPr>
        <w:ind w:left="660" w:firstLine="644"/>
        <w:spacing w:after="0" w:line="216" w:lineRule="auto"/>
        <w:tabs>
          <w:tab w:leader="none" w:pos="150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7830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46" w:lineRule="exact"/>
        <w:rPr>
          <w:sz w:val="20"/>
          <w:szCs w:val="20"/>
          <w:color w:val="auto"/>
        </w:rPr>
      </w:pPr>
    </w:p>
    <w:p>
      <w:pPr>
        <w:ind w:firstLine="8"/>
        <w:spacing w:after="0" w:line="195" w:lineRule="auto"/>
        <w:tabs>
          <w:tab w:leader="none" w:pos="123"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the exercise price equal to the following percentage of the combined public offering price per share of Common Stock and accompanying common warrants: Tranche A Warrants – 100%; Tranche B Warrants – 110%; Tranche C Warrants – 125%; Tranche D Warrants –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both"/>
        <w:ind w:left="652" w:firstLine="644"/>
        <w:spacing w:after="0" w:line="261" w:lineRule="auto"/>
        <w:tabs>
          <w:tab w:leader="none" w:pos="1485"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79" w:lineRule="exact"/>
        <w:rPr>
          <w:rFonts w:ascii="Times New Roman" w:cs="Times New Roman" w:eastAsia="Times New Roman" w:hAnsi="Times New Roman"/>
          <w:sz w:val="18"/>
          <w:szCs w:val="18"/>
          <w:color w:val="auto"/>
        </w:rPr>
      </w:pPr>
    </w:p>
    <w:p>
      <w:pPr>
        <w:ind w:left="432" w:hanging="432"/>
        <w:spacing w:after="0"/>
        <w:tabs>
          <w:tab w:leader="none" w:pos="43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w:t>
      </w:r>
    </w:p>
    <w:p>
      <w:pPr>
        <w:spacing w:after="0" w:line="27" w:lineRule="exact"/>
        <w:rPr>
          <w:rFonts w:ascii="Times New Roman" w:cs="Times New Roman" w:eastAsia="Times New Roman" w:hAnsi="Times New Roman"/>
          <w:sz w:val="18"/>
          <w:szCs w:val="18"/>
          <w:color w:val="auto"/>
        </w:rPr>
      </w:pPr>
    </w:p>
    <w:p>
      <w:pPr>
        <w:jc w:val="both"/>
        <w:ind w:left="652" w:hanging="4"/>
        <w:spacing w:after="0" w:line="251" w:lineRule="auto"/>
        <w:tabs>
          <w:tab w:leader="none" w:pos="91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(x) the VWAP on the Trading Day immediately preceding the date of the applicable Notice of Exercise or (y)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3" w:lineRule="exact"/>
        <w:rPr>
          <w:rFonts w:ascii="Times New Roman" w:cs="Times New Roman" w:eastAsia="Times New Roman" w:hAnsi="Times New Roman"/>
          <w:sz w:val="18"/>
          <w:szCs w:val="18"/>
          <w:color w:val="auto"/>
        </w:rPr>
      </w:pPr>
    </w:p>
    <w:p>
      <w:pPr>
        <w:ind w:left="432" w:hanging="432"/>
        <w:spacing w:after="0"/>
        <w:tabs>
          <w:tab w:leader="none" w:pos="43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652" w:hanging="652"/>
        <w:spacing w:after="0" w:line="282" w:lineRule="auto"/>
        <w:tabs>
          <w:tab w:leader="none" w:pos="43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left="652"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76" w:lineRule="exact"/>
        <w:rPr>
          <w:sz w:val="20"/>
          <w:szCs w:val="20"/>
          <w:color w:val="auto"/>
        </w:rPr>
      </w:pPr>
    </w:p>
    <w:p>
      <w:pPr>
        <w:jc w:val="both"/>
        <w:ind w:left="652"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left="652"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Venture Market (“OTCQB”) or the OTCQX Best Market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270510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59" w:name="page60"/>
    <w:bookmarkEnd w:id="59"/>
    <w:p>
      <w:pPr>
        <w:ind w:left="380" w:hanging="196"/>
        <w:spacing w:after="0"/>
        <w:tabs>
          <w:tab w:leader="none" w:pos="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67" w:lineRule="auto"/>
        <w:tabs>
          <w:tab w:leader="none" w:pos="1628"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Warrant Shares Upon Exercise</w:t>
      </w:r>
      <w:r>
        <w:rPr>
          <w:rFonts w:ascii="Times New Roman" w:cs="Times New Roman" w:eastAsia="Times New Roman" w:hAnsi="Times New Roman"/>
          <w:sz w:val="17"/>
          <w:szCs w:val="17"/>
          <w:color w:val="auto"/>
        </w:rPr>
        <w:t>. The Company shall cause the Warrant Shares purchased hereunder to be transmitted by the Transfer Agent to the Holder by crediting the account of the Holder’s or its designee’s balance account with The DTC through its Deposit or Withdrawal at Custodian system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7"/>
          <w:szCs w:val="17"/>
          <w:u w:val="single" w:color="auto"/>
          <w:color w:val="auto"/>
        </w:rPr>
        <w:t>Warrant Share Delivery Date</w:t>
      </w:r>
      <w:r>
        <w:rPr>
          <w:rFonts w:ascii="Times New Roman" w:cs="Times New Roman" w:eastAsia="Times New Roman" w:hAnsi="Times New Roman"/>
          <w:sz w:val="17"/>
          <w:szCs w:val="17"/>
          <w:color w:val="auto"/>
        </w:rPr>
        <w:t>”), provided that payment of the aggregate Exercise Price (other than in connection with a cashless exercise) is received by the Company by such date. Upon delivery of the Notice of Exercise, the Holder shall be deemed for all corporate purposes to have become the holder of record of the Warrant Shares or Exchange Warrants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shall cause any Exchange Warrants purchased hereunder to be issued to the Holder in electronic</w:t>
      </w:r>
    </w:p>
    <w:p>
      <w:pPr>
        <w:spacing w:after="0" w:line="203" w:lineRule="exact"/>
        <w:rPr>
          <w:rFonts w:ascii="Times New Roman" w:cs="Times New Roman" w:eastAsia="Times New Roman" w:hAnsi="Times New Roman"/>
          <w:sz w:val="17"/>
          <w:szCs w:val="17"/>
          <w:color w:val="auto"/>
        </w:rPr>
      </w:pPr>
    </w:p>
    <w:p>
      <w:pPr>
        <w:jc w:val="both"/>
        <w:ind w:left="8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.PDF format by the Warrant Share Delivery Date, with ink-originals being sent to the Holder via courier promptly.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186" w:lineRule="exact"/>
        <w:rPr>
          <w:rFonts w:ascii="Times New Roman" w:cs="Times New Roman" w:eastAsia="Times New Roman" w:hAnsi="Times New Roman"/>
          <w:sz w:val="17"/>
          <w:szCs w:val="17"/>
          <w:color w:val="auto"/>
        </w:rPr>
      </w:pPr>
    </w:p>
    <w:p>
      <w:pPr>
        <w:jc w:val="both"/>
        <w:ind w:left="840" w:firstLine="640"/>
        <w:spacing w:after="0" w:line="261" w:lineRule="auto"/>
        <w:tabs>
          <w:tab w:leader="none" w:pos="169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via electronic mail to the Holder a new Warrant evidencing the rights of the Holder to purchase the unpurchased Warrant Shares or Exchange Warrants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840" w:firstLine="640"/>
        <w:spacing w:after="0" w:line="282" w:lineRule="auto"/>
        <w:tabs>
          <w:tab w:leader="none" w:pos="174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251460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60" w:name="page61"/>
    <w:bookmarkEnd w:id="60"/>
    <w:p>
      <w:pPr>
        <w:jc w:val="both"/>
        <w:ind w:left="840" w:firstLine="640"/>
        <w:spacing w:after="0" w:line="252" w:lineRule="auto"/>
        <w:tabs>
          <w:tab w:leader="none" w:pos="1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this Warrant for Warrant Shares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7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 of Common Stock.</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1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The issuance and delivery of Warrant Shares and Exchange Warrants shall be made without charge to the Holder for any issue or transfer tax or other incidental expense in respect of the issuance of such Warrant Shares, all of which taxes and expenses shall be paid by the Company, and such Warrant Shares or Exchange Warrants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as Exhibit B duly executed by the Holder and the Company may require, as a condition thereto, the payment of a sum sufficient to reimburse it for any transfer tax incidental thereto, and if any portion of this Warrant remains unexercised, a new Warrant in the form hereof shall be delivered via electronic mail by the Company to the assignee. The Company shall pay all Transfer Agent fees required for same-day processing of any Notice of Exercise and all fees to the DTC (or another established clearing corporation performing similar functions) required for same-day electronic delivery of the Warrant Shares.</w:t>
      </w:r>
    </w:p>
    <w:p>
      <w:pPr>
        <w:spacing w:after="0" w:line="191" w:lineRule="exact"/>
        <w:rPr>
          <w:rFonts w:ascii="Times New Roman" w:cs="Times New Roman" w:eastAsia="Times New Roman" w:hAnsi="Times New Roman"/>
          <w:sz w:val="18"/>
          <w:szCs w:val="18"/>
          <w:color w:val="auto"/>
        </w:rPr>
      </w:pPr>
    </w:p>
    <w:p>
      <w:pPr>
        <w:ind w:left="840" w:firstLine="640"/>
        <w:spacing w:after="0" w:line="282" w:lineRule="auto"/>
        <w:tabs>
          <w:tab w:leader="none" w:pos="176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251460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61" w:name="page62"/>
    <w:bookmarkEnd w:id="61"/>
    <w:p>
      <w:pPr>
        <w:jc w:val="both"/>
        <w:ind w:left="180" w:firstLine="652"/>
        <w:spacing w:after="0" w:line="251" w:lineRule="auto"/>
        <w:tabs>
          <w:tab w:leader="none" w:pos="102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Any Warrant Shares otherwise due to the Holder upon such exercise in excess of the Beneficial Ownership Limitation will in lieu thereof be issued in the form of Exchange Warrants pursuant to the form of the Prefunded Warrant to Purchase Shares of Common Stock attached hereto as Exhibit C. For purposes of the foregoing sentence, the number of shares of Common Stock beneficially owned by the Holder and its Affiliates and Attribution Parties shall include the number of Warrant Shares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including the issuance of Exchange Warrants in lieu of Warrant Shares,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of the number of shares of Common Stock outstanding immediately after giving effect to the issuance of Warrant Shares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Warrant Shares upon exercise of this Warrant held by the Holder and the provisions of this Section 2(e) shall continue to apply. Any</w:t>
      </w:r>
    </w:p>
    <w:p>
      <w:pPr>
        <w:jc w:val="both"/>
        <w:ind w:left="180"/>
        <w:spacing w:after="0" w:line="231" w:lineRule="auto"/>
        <w:rPr>
          <w:sz w:val="20"/>
          <w:szCs w:val="20"/>
          <w:color w:val="auto"/>
        </w:rPr>
      </w:pPr>
      <w:r>
        <w:rPr>
          <w:rFonts w:ascii="Times New Roman" w:cs="Times New Roman" w:eastAsia="Times New Roman" w:hAnsi="Times New Roman"/>
          <w:sz w:val="18"/>
          <w:szCs w:val="18"/>
          <w:color w:val="auto"/>
        </w:rPr>
        <w:t>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276225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Warrant Shares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Warrant Shares or Exchange Warrants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44"/>
        <w:spacing w:after="0" w:line="253" w:lineRule="auto"/>
        <w:tabs>
          <w:tab w:leader="none" w:pos="8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that this Warrant is outstanding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4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267970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63" w:name="page64"/>
    <w:bookmarkEnd w:id="63"/>
    <w:p>
      <w:pPr>
        <w:jc w:val="both"/>
        <w:ind w:left="-460" w:firstLine="644"/>
        <w:spacing w:after="0" w:line="250" w:lineRule="auto"/>
        <w:tabs>
          <w:tab w:leader="none" w:pos="38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xml:space="preserve">”).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consummation of such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and a Holder shall receive common stock of the Successor Entity in the amount of the Black Scholes Value.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100 day volatility obtained from the HVT function on Bloomberg (determined utilizing a 365-day annualization factor) as of the Trading Day immediately following the public announcement of the applicable Fundamental Transaction,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Fundamental Transaction and the Termination Date, and (E) a zero cost of borrow. The payment of the Black Scholes Value will be made within five Trading Days of the Holder’s election (or, if later, on the effective date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3(e) regardless of (i) whether the Company has sufficient authorized shares of Common Stock for the issuance of Warrant Shares and/or (ii) whether a Fundamental Transaction occurs prior to the Initial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64" w:name="page65"/>
    <w:bookmarkEnd w:id="64"/>
    <w:p>
      <w:pPr>
        <w:jc w:val="both"/>
        <w:ind w:left="-460" w:firstLine="644"/>
        <w:spacing w:after="0" w:line="266" w:lineRule="auto"/>
        <w:tabs>
          <w:tab w:leader="none" w:pos="35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89" w:lineRule="auto"/>
        <w:tabs>
          <w:tab w:leader="none" w:pos="1628"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57" w:lineRule="exact"/>
        <w:rPr>
          <w:rFonts w:ascii="Times New Roman" w:cs="Times New Roman" w:eastAsia="Times New Roman" w:hAnsi="Times New Roman"/>
          <w:sz w:val="17"/>
          <w:szCs w:val="17"/>
          <w:color w:val="auto"/>
        </w:rPr>
      </w:pPr>
    </w:p>
    <w:p>
      <w:pPr>
        <w:jc w:val="both"/>
        <w:ind w:left="840" w:firstLine="640"/>
        <w:spacing w:after="0" w:line="251" w:lineRule="auto"/>
        <w:tabs>
          <w:tab w:leader="none" w:pos="170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279400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3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via electronic mail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or Exchange Warrants without having a new Warrant issued.</w:t>
      </w:r>
    </w:p>
    <w:p>
      <w:pPr>
        <w:spacing w:after="0" w:line="191"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via electronic mail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or Exchange Warrants issuable pursuant thereto.</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or Exchange Warrants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262890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83" w:lineRule="exact"/>
        <w:rPr>
          <w:rFonts w:ascii="Times New Roman" w:cs="Times New Roman" w:eastAsia="Times New Roman" w:hAnsi="Times New Roman"/>
          <w:sz w:val="18"/>
          <w:szCs w:val="18"/>
          <w:color w:val="auto"/>
        </w:rPr>
      </w:pPr>
    </w:p>
    <w:p>
      <w:pPr>
        <w:jc w:val="both"/>
        <w:ind w:firstLine="644"/>
        <w:spacing w:after="0" w:line="258" w:lineRule="auto"/>
        <w:tabs>
          <w:tab w:leader="none" w:pos="84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via electronic mail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right="20" w:firstLine="644"/>
        <w:spacing w:after="0" w:line="282" w:lineRule="auto"/>
        <w:tabs>
          <w:tab w:leader="none" w:pos="83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or Exchange Warrants upon the exercise of the purchase rights under this Warrant. The Company will take all such reasonable action as may be necessary to assure that such Warrant Shares or Exchange Warrants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2"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or validly issued Exchange Warrants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270510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67" w:name="page68"/>
    <w:bookmarkEnd w:id="67"/>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firstLine="644"/>
        <w:spacing w:after="0" w:line="282" w:lineRule="auto"/>
        <w:tabs>
          <w:tab w:leader="none" w:pos="83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81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and Exchange Warrants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firstLine="644"/>
        <w:spacing w:after="0" w:line="256" w:lineRule="auto"/>
        <w:tabs>
          <w:tab w:leader="none" w:pos="85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80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0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4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800" w:hanging="156"/>
        <w:spacing w:after="0"/>
        <w:tabs>
          <w:tab w:leader="none" w:pos="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w:t>
      </w:r>
    </w:p>
    <w:p>
      <w:pPr>
        <w:spacing w:after="0" w:line="206" w:lineRule="exact"/>
        <w:rPr>
          <w:rFonts w:ascii="Times New Roman" w:cs="Times New Roman" w:eastAsia="Times New Roman" w:hAnsi="Times New Roman"/>
          <w:sz w:val="18"/>
          <w:szCs w:val="18"/>
          <w:color w:val="auto"/>
        </w:rPr>
      </w:pPr>
    </w:p>
    <w:p>
      <w:pPr>
        <w:jc w:val="both"/>
        <w:ind w:firstLine="644"/>
        <w:spacing w:after="0" w:line="266" w:lineRule="auto"/>
        <w:tabs>
          <w:tab w:leader="none" w:pos="89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84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Agency Agreement</w:t>
      </w:r>
      <w:r>
        <w:rPr>
          <w:rFonts w:ascii="Times New Roman" w:cs="Times New Roman" w:eastAsia="Times New Roman" w:hAnsi="Times New Roman"/>
          <w:sz w:val="18"/>
          <w:szCs w:val="18"/>
          <w:color w:val="auto"/>
        </w:rPr>
        <w:t>. If this Warrant is held in global form through DTC (or any successor depositary), this Warrant is issued subject to the Warrant Agency Agreement. To the extent any provision of this Warrant conflicts with the express provisions of the Warrant Agency Agreement, the provisions of this Warrant shall govern and be controlling.</w:t>
      </w:r>
    </w:p>
    <w:p>
      <w:pPr>
        <w:spacing w:after="0" w:line="17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8" w:name="page69"/>
    <w:bookmarkEnd w:id="68"/>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Stacy R. Lindborg,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ind w:left="1030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IMUNON, INC.</w:t>
      </w:r>
    </w:p>
    <w:p>
      <w:pPr>
        <w:spacing w:after="0" w:line="229" w:lineRule="exact"/>
        <w:rPr>
          <w:sz w:val="20"/>
          <w:szCs w:val="20"/>
          <w:color w:val="auto"/>
        </w:rPr>
      </w:pPr>
    </w:p>
    <w:p>
      <w:pPr>
        <w:ind w:left="1600" w:hanging="296"/>
        <w:spacing w:after="0"/>
        <w:tabs>
          <w:tab w:leader="none" w:pos="16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and/or Exchange Warrants to purchase</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 shares of Common Stock pursuant to the terms of the attached Warrant (only if exercised in full), and tenders herewith payment of the exercise price in full, together with all applicable transfer taxes, if any.</w:t>
      </w:r>
    </w:p>
    <w:p>
      <w:pPr>
        <w:spacing w:after="0" w:line="18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6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hanging="8"/>
        <w:spacing w:after="0" w:line="266" w:lineRule="auto"/>
        <w:tabs>
          <w:tab w:leader="none" w:pos="2179" w:val="left"/>
        </w:tabs>
        <w:numPr>
          <w:ilvl w:val="1"/>
          <w:numId w:val="6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80" w:hanging="276"/>
        <w:spacing w:after="0"/>
        <w:tabs>
          <w:tab w:leader="none" w:pos="1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and/or Exchange Warrants in the name of the undersigned or in such other name as is specified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left="340" w:right="1780"/>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11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11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9">
                      <a:extLst>
                        <a:ext uri="{28A0092B-C50C-407E-A947-70E740481C1C}"/>
                      </a:extLst>
                    </a:blip>
                    <a:srcRect/>
                    <a:stretch>
                      <a:fillRect/>
                    </a:stretch>
                  </pic:blipFill>
                  <pic:spPr bwMode="auto">
                    <a:xfrm>
                      <a:off x="0" y="0"/>
                      <a:ext cx="3511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OF PREFUNDED WARRANT</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TO PURCHASE SHARES OF COMMON STOCK</w:t>
      </w:r>
    </w:p>
    <w:p>
      <w:pPr>
        <w:spacing w:after="0" w:line="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[To be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4.9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WARRANT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PURCHASE SHARES OF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9" w:lineRule="exact"/>
        <w:rPr>
          <w:sz w:val="20"/>
          <w:szCs w:val="20"/>
          <w:color w:val="auto"/>
        </w:rPr>
      </w:pPr>
    </w:p>
    <w:p>
      <w:pPr>
        <w:spacing w:after="0"/>
        <w:tabs>
          <w:tab w:leader="none" w:pos="8960" w:val="left"/>
        </w:tabs>
        <w:rPr>
          <w:sz w:val="20"/>
          <w:szCs w:val="20"/>
          <w:color w:val="auto"/>
        </w:rPr>
      </w:pPr>
      <w:r>
        <w:rPr>
          <w:rFonts w:ascii="Times New Roman" w:cs="Times New Roman" w:eastAsia="Times New Roman" w:hAnsi="Times New Roman"/>
          <w:sz w:val="18"/>
          <w:szCs w:val="18"/>
          <w:color w:val="auto"/>
        </w:rPr>
        <w:t>Warrant Shares: ________</w:t>
      </w:r>
      <w:r>
        <w:rPr>
          <w:sz w:val="20"/>
          <w:szCs w:val="20"/>
          <w:color w:val="auto"/>
        </w:rPr>
        <w:tab/>
      </w:r>
      <w:r>
        <w:rPr>
          <w:rFonts w:ascii="Times New Roman" w:cs="Times New Roman" w:eastAsia="Times New Roman" w:hAnsi="Times New Roman"/>
          <w:sz w:val="18"/>
          <w:szCs w:val="18"/>
          <w:color w:val="auto"/>
        </w:rPr>
        <w:t>Initial Exercise Date: [●], 2026</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PREFUNDED WARRANT TO PURCHASE SHARES OF COMMON STOCK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until this Warrant is exercised in full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Imunon,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Warrant, the following terms have the meanings indicated in this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means the securities purchase agreement, dated as of [●], 2026, among the Company and the purchaser signatories thereto, as amended, modified or supplemented from time to time in accordance with its terms.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Company’s registration statement on Form S-1 (File No. 333-[●]).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Common Stock is traded on a Trading Market.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OTCQB or OTCQX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Equiniti Trust Company, LLC, the current transfer agent of the Company, with a mailing address of 55 Challenger Road, Ridgefield Park, New Jersey 07660, and any successor transfer agent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this Warrant and other prefunded warrants to purchase shares of Common Stock issued by the Company pursuant to the Purchase Agreement and the Registration Statement.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5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as Exhibit A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 w:cs="Times New Roman" w:eastAsia="Times New Roman" w:hAnsi="Times New Roman"/>
          <w:sz w:val="18"/>
          <w:szCs w:val="18"/>
          <w:b w:val="1"/>
          <w:bCs w:val="1"/>
          <w:color w:val="auto"/>
        </w:rPr>
        <w:t>The Holder and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9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share of Common Stock under this Warrant shall be $0.0001,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162" w:lineRule="exact"/>
        <w:rPr>
          <w:sz w:val="20"/>
          <w:szCs w:val="20"/>
          <w:color w:val="auto"/>
        </w:rPr>
      </w:pPr>
    </w:p>
    <w:p>
      <w:pPr>
        <w:jc w:val="both"/>
        <w:ind w:left="1620" w:hanging="316"/>
        <w:spacing w:after="0" w:line="253" w:lineRule="auto"/>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4"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1620" w:hanging="316"/>
        <w:spacing w:after="0" w:line="282" w:lineRule="auto"/>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76" w:lineRule="exact"/>
        <w:rPr>
          <w:sz w:val="20"/>
          <w:szCs w:val="20"/>
          <w:color w:val="auto"/>
        </w:rPr>
      </w:pPr>
    </w:p>
    <w:p>
      <w:pPr>
        <w:ind w:left="1560" w:hanging="256"/>
        <w:spacing w:after="0"/>
        <w:tabs>
          <w:tab w:leader="none" w:pos="15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1" w:lineRule="auto"/>
        <w:tabs>
          <w:tab w:leader="none" w:pos="220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spacing w:after="0" w:line="203"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1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via electronic mail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1300" w:firstLine="652"/>
        <w:spacing w:after="0" w:line="282" w:lineRule="auto"/>
        <w:tabs>
          <w:tab w:leader="none" w:pos="226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jc w:val="both"/>
        <w:ind w:left="180" w:firstLine="652"/>
        <w:spacing w:after="0" w:line="252" w:lineRule="auto"/>
        <w:tabs>
          <w:tab w:leader="none" w:pos="11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this Warrant for Warrant Shares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90"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08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13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The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provided, however, that, in the event that Warrant Shares are to be issued in a name other than the name of the Holder, this Warrant when surrendered for exercise shall be accompanied by the Assignment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duly executed by the Holder and the Company may require, as a condition thereto, the payment of a sum sufficient to reimburse it for any transfer tax incidental thereto, and if any portion of this Warrant remains unexercised, a new Warrant in the form hereof shall be delivered by the Company to the assignee.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94" w:lineRule="exact"/>
        <w:rPr>
          <w:rFonts w:ascii="Times New Roman" w:cs="Times New Roman" w:eastAsia="Times New Roman" w:hAnsi="Times New Roman"/>
          <w:sz w:val="18"/>
          <w:szCs w:val="18"/>
          <w:color w:val="auto"/>
        </w:rPr>
      </w:pPr>
    </w:p>
    <w:p>
      <w:pPr>
        <w:ind w:left="180" w:firstLine="652"/>
        <w:spacing w:after="0" w:line="282" w:lineRule="auto"/>
        <w:tabs>
          <w:tab w:leader="none" w:pos="118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77" w:name="page78"/>
    <w:bookmarkEnd w:id="77"/>
    <w:p>
      <w:pPr>
        <w:jc w:val="both"/>
        <w:ind w:firstLine="1304"/>
        <w:spacing w:after="0" w:line="251" w:lineRule="auto"/>
        <w:tabs>
          <w:tab w:leader="none" w:pos="155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Warrant Shares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upon election by a Holder prior to the issuance of any Warrants, 9.99%) of the number of shares of Common Stock outstanding immediately after giving effect to the issuance of Warrant Shares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w:t>
      </w:r>
    </w:p>
    <w:p>
      <w:pPr>
        <w:spacing w:after="0" w:line="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of this 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5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Warrant Shares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ind w:left="1560" w:hanging="256"/>
        <w:spacing w:after="0"/>
        <w:tabs>
          <w:tab w:leader="none" w:pos="1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jc w:val="both"/>
        <w:ind w:firstLine="1304"/>
        <w:spacing w:after="0" w:line="251" w:lineRule="auto"/>
        <w:tabs>
          <w:tab w:leader="none" w:pos="155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cs="Times New Roman" w:eastAsia="Times New Roman" w:hAnsi="Times New Roman"/>
          <w:sz w:val="18"/>
          <w:szCs w:val="18"/>
          <w:u w:val="single" w:color="auto"/>
          <w:color w:val="auto"/>
        </w:rPr>
        <w:t>Alternate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3(e) regardless of (i) whether the Company has sufficient authorized shares of Common Stock for the issuance of Warrant Shares and/or (ii) whether a Fundamental Transaction occurs prior to the Initial Exercise Date.</w:t>
      </w:r>
    </w:p>
    <w:p>
      <w:pPr>
        <w:spacing w:after="0" w:line="19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firstLine="652"/>
        <w:spacing w:after="0" w:line="266" w:lineRule="auto"/>
        <w:tabs>
          <w:tab w:leader="none" w:pos="219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jc w:val="both"/>
        <w:ind w:left="1300" w:firstLine="652"/>
        <w:spacing w:after="0" w:line="252" w:lineRule="auto"/>
        <w:tabs>
          <w:tab w:leader="none" w:pos="222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via electronic mail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via electronic mail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jc w:val="both"/>
        <w:ind w:firstLine="1304"/>
        <w:spacing w:after="0" w:line="261" w:lineRule="auto"/>
        <w:tabs>
          <w:tab w:leader="none" w:pos="155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6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w:t>
      </w:r>
    </w:p>
    <w:p>
      <w:pPr>
        <w:ind w:firstLine="8"/>
        <w:spacing w:after="0" w:line="260" w:lineRule="auto"/>
        <w:tabs>
          <w:tab w:leader="none" w:pos="18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8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via electronic mail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jc w:val="both"/>
        <w:ind w:firstLine="1304"/>
        <w:spacing w:after="0" w:line="252" w:lineRule="auto"/>
        <w:tabs>
          <w:tab w:leader="none" w:pos="152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County of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97"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1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60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on the other hand.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of this Warrant.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Stacy R. Lindborg,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IMUNON, INC.</w:t>
      </w:r>
    </w:p>
    <w:p>
      <w:pPr>
        <w:spacing w:after="0" w:line="229" w:lineRule="exact"/>
        <w:rPr>
          <w:sz w:val="20"/>
          <w:szCs w:val="20"/>
          <w:color w:val="auto"/>
        </w:rPr>
      </w:pPr>
    </w:p>
    <w:p>
      <w:pPr>
        <w:ind w:firstLine="656"/>
        <w:spacing w:after="0" w:line="282" w:lineRule="auto"/>
        <w:tabs>
          <w:tab w:leader="none" w:pos="91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8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300" w:right="20" w:firstLine="652"/>
        <w:spacing w:after="0" w:line="266" w:lineRule="auto"/>
        <w:tabs>
          <w:tab w:leader="none" w:pos="2169" w:val="left"/>
        </w:tabs>
        <w:numPr>
          <w:ilvl w:val="1"/>
          <w:numId w:val="8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920" w:hanging="264"/>
        <w:spacing w:after="0"/>
        <w:tabs>
          <w:tab w:leader="none" w:pos="9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5" w:name="page86"/>
    <w:bookmarkEnd w:id="85"/>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 assign the foregoing Warrant, execute this form and supply required information. Do not use this form to purchase shares.)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4.10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AGENT SHARE PURCHASE WARRANT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Warrant Shares or Exchange Warrants: [_]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[_], 2026 (the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Imunon,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[Maxim Partners LLC],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terms and limitations on exercise and conditions hereinafter set forth, at any time, and from time to time, on or after [ ], 2027</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Initial 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to purchase from the Company, at the Exercise Price (as defined below) then in effect, on or prior to 11:59 p.m., New York time, on the Expiration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either (x) ______________ (_____________) fully paid non-assessable shares of Common Stock (as defined in Section</w:t>
      </w:r>
    </w:p>
    <w:p>
      <w:pPr>
        <w:spacing w:after="0"/>
        <w:rPr>
          <w:sz w:val="20"/>
          <w:szCs w:val="20"/>
          <w:color w:val="auto"/>
        </w:rPr>
      </w:pPr>
      <w:r>
        <w:rPr>
          <w:rFonts w:ascii="Times New Roman" w:cs="Times New Roman" w:eastAsia="Times New Roman" w:hAnsi="Times New Roman"/>
          <w:sz w:val="18"/>
          <w:szCs w:val="18"/>
          <w:color w:val="auto"/>
        </w:rPr>
        <w:t>18), subject to adjustment as provided herein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or (y) warrants to purchase ______________ (_____________) shares of Common</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 for a future exercise price of $0.0001 (the “</w:t>
      </w:r>
      <w:r>
        <w:rPr>
          <w:rFonts w:ascii="Times New Roman" w:cs="Times New Roman" w:eastAsia="Times New Roman" w:hAnsi="Times New Roman"/>
          <w:sz w:val="18"/>
          <w:szCs w:val="18"/>
          <w:b w:val="1"/>
          <w:bCs w:val="1"/>
          <w:color w:val="auto"/>
        </w:rPr>
        <w:t>Exchange Warrants</w:t>
      </w:r>
      <w:r>
        <w:rPr>
          <w:rFonts w:ascii="Times New Roman" w:cs="Times New Roman" w:eastAsia="Times New Roman" w:hAnsi="Times New Roman"/>
          <w:sz w:val="18"/>
          <w:szCs w:val="18"/>
          <w:color w:val="auto"/>
        </w:rPr>
        <w:t>”), with such choice between Warrant Shares and Exchange Warrants determined by the Maximum Percentage (as defined below). Except as otherwise defined herein, capitalized terms in this Placement Agent Warrant to Purchase Common Stock or Exchange Warrants (including any Placement Agent Warrants to Purchase Common Stock or Exchange Warrants issued in exchange, transfer or replacement hereof, this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shall have the meanings set forth in Section 18.</w:t>
      </w:r>
    </w:p>
    <w:p>
      <w:pPr>
        <w:spacing w:after="0" w:line="189" w:lineRule="exact"/>
        <w:rPr>
          <w:sz w:val="20"/>
          <w:szCs w:val="20"/>
          <w:color w:val="auto"/>
        </w:rPr>
      </w:pPr>
    </w:p>
    <w:p>
      <w:pPr>
        <w:ind w:left="180" w:hanging="172"/>
        <w:spacing w:after="0"/>
        <w:tabs>
          <w:tab w:leader="none" w:pos="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1" w:lineRule="auto"/>
        <w:tabs>
          <w:tab w:leader="none" w:pos="89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 xml:space="preserve">. Subject to the terms and conditions hereof (including, without limitation, the limitations set forth in Section 1(e)), this Warrant may be exercised by the Holder at any time or times following the Initial Exercise Date and on or before the Termination Date, in whole or in part, by delivery to the Company of a duly executed PDF copy submitted by e-mail (or e-mail attachment) of the notice of exercise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Within one (1) Trading Day following the delivery of the Exercise Notice, the Holder shall make payment to the Company of an amount equal to the Exercise Price in effect on the date of such exercise multiplied by the number of Warrant Shares or Exchange Warrants as to which this Warrant is being exercised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in cash by wire transfer of immediately available funds. The Holder shall not be required to deliver the original Warrant in order to effect an exercise hereunder, nor shall any ink-original signature or medallion guarantee (or other type of guarantee or notarization) with respect to any Exercise Notice be required. Execution and delivery of the Exercise Notice with respect to less than all of the Warrant Shares or Exchange Warrants shall have the same effect as cancellation of the original Warrant and issuance of a new Warrant evidencing the right to purchase the remaining number of Warrant Shares or Exchange Warrants and the Holder shall not be required to physically surrender this Warrant to the Company until the Holder has purchased all of the Warrant Shares or Exchange Warrants available hereunder and the Warrant has been exercised in full, in which case, the Holder shall surrender this Warrant to the Company for cancellation within five (5) Trading Days of the date on which the final Exercise Notice has been delivered to the Company. On or before the second (2nd) Trading Day following the date on which the Holder has delivered the applicable Exercise Notice, the Company shall transmit by electronic mail an acknowledgment of confirmation of receipt of the Exercise Notice, in the form attached to the Exercise Notice, to the Holder and the Company’s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So long as the Holder delivers the Aggregate Exercise Price on or prior to the first (1st) Trading Day following the date on which the Exercise Notice has been delivered to the Company, then on or prior to the second (2nd) Trading Day following the date on which the Exercise Notice has been delivered to the Company, or, if the Holder does not deliver the Aggregate Exercise Price on or prior to the first (1st) Trading Day following the date on which the Exercise Notice has been delivered to the Company, then on or prior to the second (2nd) Trading Day following the date on which the Aggregate Exercise is delivered (such date, or if later, the earliest day on which the Company is required to deliver Warrant Shares or Exchange Warrants pursuant to this Section 1(a), the “</w:t>
      </w:r>
      <w:r>
        <w:rPr>
          <w:rFonts w:ascii="Times New Roman" w:cs="Times New Roman" w:eastAsia="Times New Roman" w:hAnsi="Times New Roman"/>
          <w:sz w:val="18"/>
          <w:szCs w:val="18"/>
          <w:b w:val="1"/>
          <w:bCs w:val="1"/>
          <w:color w:val="auto"/>
        </w:rPr>
        <w:t>Delivery Date</w:t>
      </w:r>
      <w:r>
        <w:rPr>
          <w:rFonts w:ascii="Times New Roman" w:cs="Times New Roman" w:eastAsia="Times New Roman" w:hAnsi="Times New Roman"/>
          <w:sz w:val="18"/>
          <w:szCs w:val="18"/>
          <w:color w:val="auto"/>
        </w:rPr>
        <w:t>”), the Company shall (X) provided that the Transfer Agent is participating in the DTC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xml:space="preserve">”), deliver the appropriate instructions to the Transfer Agent for exercise of such aggregate number of Warrant Shares or Exchange Warrants by crediting the Holder’s or its designee’s balance account with DTC through its Deposit or Withdrawal at Custodian system, or (Y) if the Transfer Agent is not participating in FAST, issue and dispatch by overnight courier within one (1) Trading Day following the Company’s receipt of the Aggregate Exercise Price to the address specified in the Exercise Notice, as elected by the Holder, evidence of credit of book entry shares or a certificate, as applicable, registered in the name of the Holder or its designee for the number of Warrant Shares or Exchange Warrants to which the Holder is entitled pursuant to such exercise. The Company shall be responsible for all fees and expenses of the Transfer Agent and all fees and expenses with respect to the issuance of Warrant Shares or Exchange Warrants via DTC, if any, including without limitation for same day processing. Upon delivery of the Exercise Notice, the Holder shall be deemed solely for purposes of Regulation SHO to have become the holder of record and beneficial owner of the Warrant Shares or Exchange Warrants with respect to which this Warrant has been exercised, irrespective of the date such Warrant Shares or Exchange Warrants are credited to the Holder’s or its designee’s DTC account or the date of delivery of the certificates evidencing such Warrant Shares or Exchange Warrants, as the case may be. If this Warrant is physically delivered to the Company in connection with any exercise pursuant to this Section 1(a) and the number of Warrant Shares or Exchange Warrants represented by this Warrant submitted for exercise is greater than the number of Warrant Shares or Exchange Warrants being acquired upon an exercise, then at the written request of the Holder the Company shall as soon as practicable and at its own expense, issue and deliver via electronic mail to the Holder (or its designee) a new Warrant (in accordance with Section 7(d)) representing the right to purchase the number of Warrant Shares or Exchange Warrants issuable immediately prior to such exercise under this Warrant, less the number of Warrant Shares or Exchange Warrants with respect to which this Warrant is exercised. No fractional Warrant Shares or Exchange Warrants are to be issued upon the exercise of this Warrant, but rather the number of Warrant Shares or Exchange Warrants to be issued shall be rounded down to the nearest whole number. The Company shall pay any and all transfer, stamp, issuance and similar taxes, costs and expenses (including, without limitation, fees and expenses of the Transfer Agent) which may be payable with respect to the issuance and delivery of Warrant Shares or Exchange Warrants upon exercise of this Warrant. The Company’s obligations to issue and deliver Warrant Shares or Exchange Warrants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deliver Warrant Shares or Exchange Warrants with respect to an exercise prior to the Holder’s delivery of the Aggregate Exercise Price with respect to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7830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32" w:lineRule="exact"/>
        <w:rPr>
          <w:sz w:val="20"/>
          <w:szCs w:val="20"/>
          <w:color w:val="auto"/>
        </w:rPr>
      </w:pPr>
    </w:p>
    <w:p>
      <w:pPr>
        <w:ind w:left="120" w:hanging="112"/>
        <w:spacing w:after="0"/>
        <w:tabs>
          <w:tab w:leader="none" w:pos="120" w:val="left"/>
        </w:tabs>
        <w:numPr>
          <w:ilvl w:val="0"/>
          <w:numId w:val="8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Date that is 180 days following the date of commencement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690" w:gutter="0" w:footer="0" w:header="0"/>
        </w:sectPr>
      </w:pPr>
    </w:p>
    <w:bookmarkStart w:id="87" w:name="page88"/>
    <w:bookmarkEnd w:id="87"/>
    <w:p>
      <w:pPr>
        <w:ind w:firstLine="656"/>
        <w:spacing w:after="0" w:line="216" w:lineRule="auto"/>
        <w:tabs>
          <w:tab w:leader="none" w:pos="90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Warrant Share under this Warrant shall be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subject to adjustment as provided herein (the “</w:t>
      </w: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and the purchase price of one Exchange Warrant to purchase one share of Common Stock shall be equal to the Exercise Price minus $0.0001.</w:t>
      </w:r>
    </w:p>
    <w:p>
      <w:pPr>
        <w:spacing w:after="0" w:line="198"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If either (I) the Company shall fail for any reason or for no reason to issue to the Holder on or prior to the applicable Delivery Date, if (x) the Transfer Agent is not participating in FAST, a certificate or evidence of a credit of book entry shares, registered in the name of the Holder or its designee, for the number of shares of Common Stock to which the Holder is entitled and register such shares of Common Stock on the Company’s share register or</w:t>
      </w:r>
    </w:p>
    <w:p>
      <w:pPr>
        <w:spacing w:after="0" w:line="1" w:lineRule="exact"/>
        <w:rPr>
          <w:sz w:val="20"/>
          <w:szCs w:val="20"/>
          <w:color w:val="auto"/>
        </w:rPr>
      </w:pPr>
    </w:p>
    <w:p>
      <w:pPr>
        <w:jc w:val="both"/>
        <w:ind w:firstLine="8"/>
        <w:spacing w:after="0" w:line="250" w:lineRule="auto"/>
        <w:tabs>
          <w:tab w:leader="none" w:pos="2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Agent is participating in FAST, to deliver the appropriate instruction form for exercise to the Transfer Agent, for such number of shares of Common Stock to which the Holder is entitled upon the Holder’s exercise of this Warrant or (II) a registration statement (which may be the Registration Statement) covering the issuance or resale of the Warrant Shares or Exchange Warrants that are the subject of the Exercise Notice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Exercise Notice Exchange Warrants</w:t>
      </w:r>
      <w:r>
        <w:rPr>
          <w:rFonts w:ascii="Times New Roman" w:cs="Times New Roman" w:eastAsia="Times New Roman" w:hAnsi="Times New Roman"/>
          <w:sz w:val="18"/>
          <w:szCs w:val="18"/>
          <w:color w:val="auto"/>
        </w:rPr>
        <w:t>”, as applicable) is not available for the issuance or resale, as applicable, of such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Warrant Shares or Exercise Notice Exchange Warrants and (x) the Company fails to promptly notify the Holder and (y) the Company is unable to deliver the Exercise Notice Warrant Shares or Exercise Notice Exchange Warrants electronically without any restrictive legend by crediting such aggregate number of Exercise Notice Warrant Shares or Exercise Notice Exchange Warrants to the Holder’s or its designee’s balance account with DTC through its Deposit / Withdrawal At Custodian system (the event described in the immediately foregoing clause (II) is hereinafter referred as a “</w:t>
      </w:r>
      <w:r>
        <w:rPr>
          <w:rFonts w:ascii="Times New Roman" w:cs="Times New Roman" w:eastAsia="Times New Roman" w:hAnsi="Times New Roman"/>
          <w:sz w:val="18"/>
          <w:szCs w:val="18"/>
          <w:b w:val="1"/>
          <w:bCs w:val="1"/>
          <w:color w:val="auto"/>
        </w:rPr>
        <w:t>Notice Failure</w:t>
      </w:r>
      <w:r>
        <w:rPr>
          <w:rFonts w:ascii="Times New Roman" w:cs="Times New Roman" w:eastAsia="Times New Roman" w:hAnsi="Times New Roman"/>
          <w:sz w:val="18"/>
          <w:szCs w:val="18"/>
          <w:color w:val="auto"/>
        </w:rPr>
        <w:t>” and together with the event described in clause (I) above, an “</w:t>
      </w:r>
      <w:r>
        <w:rPr>
          <w:rFonts w:ascii="Times New Roman" w:cs="Times New Roman" w:eastAsia="Times New Roman" w:hAnsi="Times New Roman"/>
          <w:sz w:val="18"/>
          <w:szCs w:val="18"/>
          <w:b w:val="1"/>
          <w:bCs w:val="1"/>
          <w:color w:val="auto"/>
        </w:rPr>
        <w:t>Exercise Failure</w:t>
      </w:r>
      <w:r>
        <w:rPr>
          <w:rFonts w:ascii="Times New Roman" w:cs="Times New Roman" w:eastAsia="Times New Roman" w:hAnsi="Times New Roman"/>
          <w:sz w:val="18"/>
          <w:szCs w:val="18"/>
          <w:color w:val="auto"/>
        </w:rPr>
        <w:t>”), then, in addition to all other remedies available to the Holder, if on or prior to the applicable Delivery Date either (I) if the Transfer Agent is not participating in FAST, the Company shall fail to issue and deliver, as elected by the Holder, a certificate or evidence of a book entry credit to the Holder and register such shares of Common Stock on the Company’s share register or, if the Transfer Agent is participating in FAST, credit the Holder’s balance account with DTC for the number of shares of Common Stock to which the Holder is entitled upon the Holder’s exercise hereunder or pursuant to the Company’s obligation pursuant to clause (ii) below or (II) if a Notice Failure occurs, and if after such date the Holder is required by its broker to purchase (in an open market transaction or otherwise) or the Holder’s brokerage firm otherwise purchases, shares of Common Stock to deliver in satisfaction of a sale by the Holder of the Warrant Shares or Exchange Warrants which the Holder anticipated receiving upon such exercise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the Company shall, within five (5) Trading Days after the Holder’s request, (A) pay in cash to the Holder the amount, if any, by which (x) the Holder’s total purchase price (including brokerage commissions, if any) for the shares of Common Stock so purchased exceeds (y) the amount obtained by multiplying (1) the number of Warrant Shares or Exchange Warrants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or Exchange Warrants for which such exercise was not honored (in which case such exercise shall be deemed rescinded) or deliver to the Holder the number of Warrant Shares or Exchange Warrants that would have been issued had the Company timely complied with its exercise and delivery obligations hereunder. For example, if the Holder purchases shares of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The Company’s current transfer agent participates in FAST. In the event that the Company changes transfer agents while this Warrant is outstanding, the Company shall select a transfer agent that participates in FAST. While this Warrant is outstanding, the Company shall cause its transfer agent to participate in FAST with respect to this Warrant. In addition to the foregoing rights, (i) if the Company fails to deliver the applicable number of Warrant Shares or Exchange Warrants upon an exercise pursuant to Section 1 by the applicable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Section 1(c) or otherwise, and (ii) if a registration statement (which may be the Registration Statement) covering the issuance or resale of the Warrant Shares or Exchange Warrants that are subject to an Exercise Notice is not available for the issuance or resale, as applicable, of such Exercise Notice Warrant Shares or Exercise Notice Exchange Warrants and the Holder has submitted an Exercise Notice prior to receiving notice of the non-availability of such registration statement and the Company has not already delivered the Warrant Shares or Exchange Warrants underlying such Exercise Notice electronically without any restrictive legend by crediting such aggregate number of Warrant Shares or Exchange Warrants to which the Holder is entitled pursuant to such exercise to the Holder’s or its designee’s balance account with DTC through its Deposit / Withdrawal At Custodian system, the Holder shall have the option, by delivery of notice to the Company, to rescind such Exercise Notice in whole or in part and retain or have returned, as the case may be, any portion of this Warrant that has not been exercised pursuant to such Exercise Notice; provided that the rescission of an Exercise Notice shall not affect the Company’s obligation to make any payments that have accrued prior to the date of such notice pursuant to this Section 1(c)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7830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52" w:lineRule="exact"/>
        <w:rPr>
          <w:sz w:val="20"/>
          <w:szCs w:val="20"/>
          <w:color w:val="auto"/>
        </w:rPr>
      </w:pPr>
    </w:p>
    <w:p>
      <w:pPr>
        <w:ind w:left="120" w:hanging="112"/>
        <w:spacing w:after="0"/>
        <w:tabs>
          <w:tab w:leader="none" w:pos="120" w:val="left"/>
        </w:tabs>
        <w:numPr>
          <w:ilvl w:val="0"/>
          <w:numId w:val="9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Equal to 110% of the combined public offering price per share of Common Stock and accompanying common warrants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8" w:name="page89"/>
    <w:bookmarkEnd w:id="88"/>
    <w:p>
      <w:pPr>
        <w:jc w:val="both"/>
        <w:ind w:left="-656" w:firstLine="656"/>
        <w:spacing w:after="0" w:line="266" w:lineRule="auto"/>
        <w:tabs>
          <w:tab w:leader="none" w:pos="24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Exercise Price or the arithmetic calculation of the Warrant Shares or Exchange Warrants, the Company shall promptly issue to the Holder the number of Warrant Shares or Exchange Warrants that are not disputed and resolve such dispute in accordance with Section 11.</w:t>
      </w:r>
    </w:p>
    <w:p>
      <w:pPr>
        <w:spacing w:after="0" w:line="17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p>
    <w:p>
      <w:pPr>
        <w:spacing w:after="0" w:line="225" w:lineRule="exact"/>
        <w:rPr>
          <w:rFonts w:ascii="Times New Roman" w:cs="Times New Roman" w:eastAsia="Times New Roman" w:hAnsi="Times New Roman"/>
          <w:sz w:val="18"/>
          <w:szCs w:val="18"/>
          <w:color w:val="auto"/>
        </w:rPr>
      </w:pPr>
    </w:p>
    <w:p>
      <w:pPr>
        <w:jc w:val="both"/>
        <w:ind w:left="-656" w:firstLine="1142"/>
        <w:spacing w:after="0" w:line="252" w:lineRule="auto"/>
        <w:tabs>
          <w:tab w:leader="none" w:pos="73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Company shall not effect the exercise of any portion of this Warrant for Warrant Shares, and the Holder shall not have the right to exercise any portion of this Warrant for Warrant Shares, pursuant to the terms and conditions of this Warrant and any such exercise of this Warrant for Warrant Shares shall as further described below be treated as an exercise of this Warrant for Exchange Warrants, to the extent that after giving effect to such exercise of the Warrant for Warrant Shares, the Holder together with the other Attribution Parties collectively would beneficially own in excess of [4.99][9.99][19.99]%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xml:space="preserve">”) of the number of shares of Common Stock outstanding immediately after giving effect to such exercise of the Warrants for Warrant Shares. In any case in which the exercise of the Warrant for Warrant Shares would result in the Holder together with the other Attribution Parties collectively beneficially owning shares of Common Stock in excess of the Maximum Percentage, the Company shall issue to the Holder the number of shares of Common Stock that would result in such Holder beneficially owning shares of Common Stock equal to the Maximum Percentage. Any shares of Common Stock otherwise due to such Holder upon such exercise in excess of the Maximum Percentage will in lieu thereof be issued in the form of Exchange Warrants pursuant to the form of the Prefunded Warrant to Purchase Shares of Common Stock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as soon as reasonably practicable, the Company shall return to the Holder any Exercise Price paid by the Holder for the Reduction Shares (as defined below) in excess of the Exercise Price for the Exchange Warrants issued to the Holder. Upon delivery of a written notice to the Company, the Holder may from time to time terminate, increase or decrease the Maximum Percentage to any other percentage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191" w:lineRule="exact"/>
        <w:rPr>
          <w:rFonts w:ascii="Times New Roman" w:cs="Times New Roman" w:eastAsia="Times New Roman" w:hAnsi="Times New Roman"/>
          <w:sz w:val="18"/>
          <w:szCs w:val="18"/>
          <w:color w:val="auto"/>
        </w:rPr>
      </w:pPr>
    </w:p>
    <w:p>
      <w:pPr>
        <w:jc w:val="both"/>
        <w:ind w:left="-656" w:firstLine="1142"/>
        <w:spacing w:after="0" w:line="252" w:lineRule="auto"/>
        <w:tabs>
          <w:tab w:leader="none" w:pos="73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determining the Maximum Percentage,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Section 1(e)(1). For purposes of Section 1(e)(1), beneficial ownership shall be calculated in accordance with Section 13(d) of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and Current Reports on Form 8-K or other public filing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as the case may be, (y) a more recent public announcement by the Company or (z) any other written notice by the Company or the Transfer Agent setting forth the number of shares of Common Stock outstanding (the “</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1(e), to exceed the Maximum Percentage, the Company will issue Exchange Warrants in lieu of Warrant Shares that would cause the Holder’s beneficial ownership to exceed the Maximum Percentage (the number of Warrant Shares by which such purchase is reduced, the “</w:t>
      </w:r>
      <w:r>
        <w:rPr>
          <w:rFonts w:ascii="Times New Roman" w:cs="Times New Roman" w:eastAsia="Times New Roman" w:hAnsi="Times New Roman"/>
          <w:sz w:val="18"/>
          <w:szCs w:val="18"/>
          <w:b w:val="1"/>
          <w:bCs w:val="1"/>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in excess of the Exercise Price for the Exchange Warrants issued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269240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89" w:name="page90"/>
    <w:bookmarkEnd w:id="89"/>
    <w:p>
      <w:pPr>
        <w:jc w:val="both"/>
        <w:ind w:left="-1120" w:firstLine="1142"/>
        <w:spacing w:after="0" w:line="254" w:lineRule="auto"/>
        <w:tabs>
          <w:tab w:leader="none" w:pos="27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reason at any time, upon the written or oral request of the Holder, the Company shall within two (2) Business Days of receiving the request confirm orally or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No prior inability to exercise this Warrant pursuant to this paragraph shall have any effect on the applicability of the provisions of this paragraph with respect to any subsequent determination of exercisability. The provisions of this paragraph shall not be construed and implemented in a manner otherwise than in strict conformity with the terms of this Section 1(e) to the extent necessary to correct this paragraph or any portion of this paragraph which may be defective or inconsistent with the intended beneficial ownership limitation contained in this Section 1(e) or to make changes or supplements necessary or desirable to properly give effect to such limitation.</w:t>
      </w:r>
    </w:p>
    <w:p>
      <w:pPr>
        <w:spacing w:after="0" w:line="188" w:lineRule="exact"/>
        <w:rPr>
          <w:rFonts w:ascii="Times New Roman" w:cs="Times New Roman" w:eastAsia="Times New Roman" w:hAnsi="Times New Roman"/>
          <w:sz w:val="18"/>
          <w:szCs w:val="18"/>
          <w:color w:val="auto"/>
        </w:rPr>
      </w:pPr>
    </w:p>
    <w:p>
      <w:pPr>
        <w:jc w:val="both"/>
        <w:ind w:left="-1120" w:firstLine="1142"/>
        <w:spacing w:after="0" w:line="251" w:lineRule="auto"/>
        <w:tabs>
          <w:tab w:leader="none" w:pos="27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obtains the approval of its stockholders as required by the applicable rules of the applicable Principal Market for issuances of shares of Common Stock in excess of such amount, the Company shall not effect any exercise of this Warrant, and the Holder shall not have the right to exercise any portion of this Warrant, pursuant to Section 1 or otherwise, to the extent that after giving effect to such issuance after exercise as set forth on the applicable Exercise Notice, the Holder, together with the Attribution Parties, would beneficially own in excess of the Primary Market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are issuable upon (i) exercise of the remaining, nonexercised portion of this Warrant beneficially owned by such Holder or any of its Affiliates or Attribution Parties and (ii) exercise or conversion of the unexercised or unconverted portion of any other securities of the Company (including, without limitation, any other Common Stock Equivalents) held by such Holder or any of its Affiliates or Attribution Parties, but for a limitation on conversion or exercise analogous to the limitation contained herein. Except as set forth in the preceding sentence, for purposes of this Section 1(e)(4),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(other than as it relates to a Holder relying on the number of shares issued and outstanding as provided by the Company pursuant to this Section 1(e)(4)). To the extent that the limitation contained in this Section 1(e)(4) applies, the determination of whether this Warrant is exercisable (in relation to other securities owned by the Holder together with any Attribution Parties) and of which portion of this Warrant is exercisable shall be in the sole discretion of the Company. A determination as to any group status as contemplated above shall be determined in accordance with Section 13(d) of the Exchange Act and the rules and regulations promulgated thereunder in the sole discretion of the Holder or Holders. Upon the written or oral request (which may be via email) of a Holder, the Company shall within one Trading Day confirm orally and in writing to such Holder the number of shares of Common Stock then outstanding. The “</w:t>
      </w:r>
      <w:r>
        <w:rPr>
          <w:rFonts w:ascii="Times New Roman" w:cs="Times New Roman" w:eastAsia="Times New Roman" w:hAnsi="Times New Roman"/>
          <w:sz w:val="18"/>
          <w:szCs w:val="18"/>
          <w:b w:val="1"/>
          <w:bCs w:val="1"/>
          <w:color w:val="auto"/>
        </w:rPr>
        <w:t>Primary Market Limitation</w:t>
      </w:r>
      <w:r>
        <w:rPr>
          <w:rFonts w:ascii="Times New Roman" w:cs="Times New Roman" w:eastAsia="Times New Roman" w:hAnsi="Times New Roman"/>
          <w:sz w:val="18"/>
          <w:szCs w:val="18"/>
          <w:color w:val="auto"/>
        </w:rPr>
        <w:t>” shall be 19.99% of the number of shares of Common Stock outstanding immediately before giving effect to the issuance of shares of Common Stock issuable upon exercise of this Warrant. The limitations contained in this paragraph shall apply to a successor holder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279400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90" w:name="page91"/>
    <w:bookmarkEnd w:id="90"/>
    <w:p>
      <w:pPr>
        <w:jc w:val="both"/>
        <w:ind w:left="-656" w:firstLine="656"/>
        <w:spacing w:after="0" w:line="253" w:lineRule="auto"/>
        <w:tabs>
          <w:tab w:leader="none" w:pos="21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Following the Initial Exercise Date and so long thereafter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the Warrants then outstanding (without regard to any limitations on exercise)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no time shall the number of shares of Common Stock reserved pursuant to this Section 1(f) be reduced other than in connection with any exercise of Warrants or such other event covered by Section 2(c) below. The Required Reserve Amount (including, without limitation, each increase in the number of shares so reserved) shall be allocated pro rata among the holders of the Warrants based on the number of shares of Common Stock issuable upon exercise of Warrants held by each holder thereof on the Issuance Date (without regard to any limitations on exercise) (the “</w:t>
      </w:r>
      <w:r>
        <w:rPr>
          <w:rFonts w:ascii="Times New Roman" w:cs="Times New Roman" w:eastAsia="Times New Roman" w:hAnsi="Times New Roman"/>
          <w:sz w:val="18"/>
          <w:szCs w:val="18"/>
          <w:b w:val="1"/>
          <w:bCs w:val="1"/>
          <w:color w:val="auto"/>
        </w:rPr>
        <w:t>Authorized Share Allocation</w:t>
      </w:r>
      <w:r>
        <w:rPr>
          <w:rFonts w:ascii="Times New Roman" w:cs="Times New Roman" w:eastAsia="Times New Roman" w:hAnsi="Times New Roman"/>
          <w:sz w:val="18"/>
          <w:szCs w:val="18"/>
          <w:color w:val="auto"/>
        </w:rPr>
        <w:t>”). In the event that a holder shall sell or otherwise transfer any of such holder’s Warrants, each transferee shall be allocated a pro rata portion of such holder’s Authorized Share Allocation. Any shares of Common Stock reserved and allocated to any Person which ceases to hold any Warrants shall be allocated to the remaining holders of Warrants, pro rata based on the number of shares of Common Stock issuable upon exercise of the Warrants then held by such holders thereof (without regard to any limitations on exercise).</w:t>
      </w:r>
    </w:p>
    <w:p>
      <w:pPr>
        <w:spacing w:after="0" w:line="189"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If at any time while this Warrant remains outstanding the Company does not have a sufficient number of authorized and unreserved shares of Common Stock to satisfy its obligation to reserve for issuance the Required Reserve Amount (an “</w:t>
      </w:r>
      <w:r>
        <w:rPr>
          <w:rFonts w:ascii="Times New Roman" w:cs="Times New Roman" w:eastAsia="Times New Roman" w:hAnsi="Times New Roman"/>
          <w:sz w:val="18"/>
          <w:szCs w:val="18"/>
          <w:b w:val="1"/>
          <w:bCs w:val="1"/>
          <w:color w:val="auto"/>
        </w:rPr>
        <w:t>Authorized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Failure</w:t>
      </w:r>
      <w:r>
        <w:rPr>
          <w:rFonts w:ascii="Times New Roman" w:cs="Times New Roman" w:eastAsia="Times New Roman" w:hAnsi="Times New Roman"/>
          <w:sz w:val="18"/>
          <w:szCs w:val="18"/>
          <w:color w:val="auto"/>
        </w:rPr>
        <w:t>”), then the Company shall promptly take commercially reasonable action necessary to increase the Company’s authorized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 amount sufficient to allow the Company to reserve the Required Reserve Amount for this Warrant then outstanding. Without limiting the generality of the foregoing sentence, as soon as practicable after the date of the occurrence of an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the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270510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91" w:name="page92"/>
    <w:bookmarkEnd w:id="91"/>
    <w:p>
      <w:pPr>
        <w:jc w:val="both"/>
        <w:ind w:left="-656" w:firstLine="656"/>
        <w:spacing w:after="0" w:line="261" w:lineRule="auto"/>
        <w:tabs>
          <w:tab w:leader="none" w:pos="24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issuance of the Warrant Shares to the stockholder, then this Warrant may also be exercised, in whole or in part, at such time by means of a “cashless exercise” in which the stockholder shall be entitled to receive a number of Warrant Shares equal to the quotient obtained by dividing [(A-B) (X)] by (A), where:</w:t>
      </w:r>
    </w:p>
    <w:p>
      <w:pPr>
        <w:spacing w:after="0" w:line="179" w:lineRule="exact"/>
        <w:rPr>
          <w:rFonts w:ascii="Times New Roman" w:cs="Times New Roman" w:eastAsia="Times New Roman" w:hAnsi="Times New Roman"/>
          <w:sz w:val="18"/>
          <w:szCs w:val="18"/>
          <w:color w:val="auto"/>
        </w:rPr>
      </w:pPr>
    </w:p>
    <w:p>
      <w:pPr>
        <w:ind w:left="964" w:hanging="640"/>
        <w:spacing w:after="0" w:line="253" w:lineRule="auto"/>
        <w:tabs>
          <w:tab w:leader="none" w:pos="751"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1(a) hereof on a day that is not a Trading Day or (2) both executed and delivered pursuant to Section 1(a) hereof on a Trading Day prior to the opening of “regular trading hours” (as defined in Rule 600(b) of Regulation NMS promulgated under the federal securities laws) on such Trading Day, (ii) at the option of the stockholder, either (y) the VWAP on the Trading Day immediately preceding the date of the applicable Notice of Exercise or (z) the Bid Price of the Common Stock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stockholder’s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1" w:lineRule="exact"/>
        <w:rPr>
          <w:rFonts w:ascii="Times New Roman" w:cs="Times New Roman" w:eastAsia="Times New Roman" w:hAnsi="Times New Roman"/>
          <w:sz w:val="18"/>
          <w:szCs w:val="18"/>
          <w:color w:val="auto"/>
        </w:rPr>
      </w:pPr>
    </w:p>
    <w:p>
      <w:pPr>
        <w:ind w:left="764" w:hanging="440"/>
        <w:spacing w:after="0"/>
        <w:tabs>
          <w:tab w:leader="none" w:pos="76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964" w:hanging="640"/>
        <w:spacing w:after="0" w:line="282" w:lineRule="auto"/>
        <w:tabs>
          <w:tab w:leader="none" w:pos="75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1(h).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92" w:name="page93"/>
    <w:bookmarkEnd w:id="92"/>
    <w:p>
      <w:pPr>
        <w:jc w:val="both"/>
        <w:ind w:left="652"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shares of Common Stock are then listed or quoted on a Trading Market, the bid price of the Common Stock as of the time in question on the Trading Market on which the Common Stock is then listed or quoted as reported by Bloomberg (based on a Trading Day from 9:30 a.m. (New York City time) to 4:02 p.m. (New York City time)), (b) if the OTCQB Venture Market (“</w:t>
      </w:r>
      <w:r>
        <w:rPr>
          <w:rFonts w:ascii="Times New Roman" w:cs="Times New Roman" w:eastAsia="Times New Roman" w:hAnsi="Times New Roman"/>
          <w:sz w:val="18"/>
          <w:szCs w:val="18"/>
          <w:b w:val="1"/>
          <w:bCs w:val="1"/>
          <w:color w:val="auto"/>
        </w:rPr>
        <w:t>OTCQB</w:t>
      </w:r>
      <w:r>
        <w:rPr>
          <w:rFonts w:ascii="Times New Roman" w:cs="Times New Roman" w:eastAsia="Times New Roman" w:hAnsi="Times New Roman"/>
          <w:sz w:val="18"/>
          <w:szCs w:val="18"/>
          <w:color w:val="auto"/>
        </w:rPr>
        <w:t>”) or the OTCQX Best Market (“</w:t>
      </w:r>
      <w:r>
        <w:rPr>
          <w:rFonts w:ascii="Times New Roman" w:cs="Times New Roman" w:eastAsia="Times New Roman" w:hAnsi="Times New Roman"/>
          <w:sz w:val="18"/>
          <w:szCs w:val="18"/>
          <w:b w:val="1"/>
          <w:bCs w:val="1"/>
          <w:color w:val="auto"/>
        </w:rPr>
        <w:t>OTCQX</w:t>
      </w:r>
      <w:r>
        <w:rPr>
          <w:rFonts w:ascii="Times New Roman" w:cs="Times New Roman" w:eastAsia="Times New Roman" w:hAnsi="Times New Roman"/>
          <w:sz w:val="18"/>
          <w:szCs w:val="18"/>
          <w:color w:val="auto"/>
        </w:rPr>
        <w:t>”) is not a Trading Market, the volume weighted average price of the Common Stock as of such date on OTCQB or OTCQX as applicable, (c) if the Common Stock is not then listed or quoted for trading on OTCQB or OTCQX and if prices for the shares of Common Stock are then reported on The Pink Open Market (or a similar organization or agency succeeding to its functions of reporting prices), the most recent bid price per share of Common Stock so reported, or (d) in all other cases, the fair market value of an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left="652"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shares of Common Stock are then listed or quoted on a Trading Market, the daily volume weighted average price of the Common Stock as of such date on the Trading Market on which the Common Stock is then listed or quoted as reported by Bloomberg (based on a Trading Day from 9:30 a.m. (New York City time) to 4:02 p.m. (New York City time)), (b) if the OTCQB or the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an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8" w:firstLine="8"/>
        <w:spacing w:after="0" w:line="282" w:lineRule="auto"/>
        <w:tabs>
          <w:tab w:leader="none" w:pos="19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WARRANT SHARES OR EXCHANGE WARRANTS</w:t>
      </w:r>
      <w:r>
        <w:rPr>
          <w:rFonts w:ascii="Times New Roman" w:cs="Times New Roman" w:eastAsia="Times New Roman" w:hAnsi="Times New Roman"/>
          <w:sz w:val="18"/>
          <w:szCs w:val="18"/>
          <w:color w:val="auto"/>
        </w:rPr>
        <w:t>. The Exercise Price and the number of Warrant Shares or Exchange Warrants shall be adjusted from time to time as follows:</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88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and the Holder’s consent, the Company may at any time during the term of this Warrant reduce the then current Exercise Price to any amount and for any period of time deemed appropriate by the Board of Directors of the Company.</w:t>
      </w:r>
    </w:p>
    <w:p>
      <w:pPr>
        <w:spacing w:after="0" w:line="175" w:lineRule="exact"/>
        <w:rPr>
          <w:rFonts w:ascii="Times New Roman" w:cs="Times New Roman" w:eastAsia="Times New Roman" w:hAnsi="Times New Roman"/>
          <w:sz w:val="18"/>
          <w:szCs w:val="18"/>
          <w:color w:val="auto"/>
        </w:rPr>
      </w:pPr>
    </w:p>
    <w:p>
      <w:pPr>
        <w:jc w:val="both"/>
        <w:ind w:left="-8" w:firstLine="656"/>
        <w:spacing w:after="0" w:line="254" w:lineRule="auto"/>
        <w:tabs>
          <w:tab w:leader="none" w:pos="90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Upon Subdivision or Combination of the shares of Common Stock</w:t>
      </w:r>
      <w:r>
        <w:rPr>
          <w:rFonts w:ascii="Times New Roman" w:cs="Times New Roman" w:eastAsia="Times New Roman" w:hAnsi="Times New Roman"/>
          <w:sz w:val="18"/>
          <w:szCs w:val="18"/>
          <w:color w:val="auto"/>
        </w:rPr>
        <w:t>. If the Company at any time on or after the Issuance Date subdivides (by any share split, subdivision, distribution of share dividend, reclassification, recapitalization or otherwise) one or more classes of its outstanding shares of Common Stock into a greater number of shares, the Exercise Price in effect immediately prior to such subdivision will be proportionately reduced and the number of Warrant Shares or Exchange Warrants will be proportionately increased. If the Company at any time on or after the Issuance Date combines (by share combination, reverse share split or otherwise) one or more classes of its outstanding shares of Common Stock into a smaller number of shares, the Exercise Price in effect immediately prior to such combination will be proportionately increased and the number of Warrant Shares or Exchange Warrants will be proportionately decreased. Any adjustment under this Section 2(b) shall become effective at the close of business on the date the subdivision or combination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270510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93" w:name="page94"/>
    <w:bookmarkEnd w:id="93"/>
    <w:p>
      <w:pPr>
        <w:jc w:val="both"/>
        <w:ind w:left="-8" w:firstLine="656"/>
        <w:spacing w:after="0" w:line="261" w:lineRule="auto"/>
        <w:tabs>
          <w:tab w:leader="none" w:pos="91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If any event occurs of the type contemplated by the provisions of this Section 2 but not expressly provided for by such provisions (including, without limitation, the granting of share appreciation rights, phantom share rights or other rights with equity features), then the Company’s Board of Directors will make an appropriate adjustment in the Exercise Price and the number of Warrant Shares, as determined by the Company’s Board of Directors, so as to protect the rights of the Holder.</w:t>
      </w:r>
    </w:p>
    <w:p>
      <w:pPr>
        <w:spacing w:after="0" w:line="179"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17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 above, if, on or after the Issuance Date and on or prior to the Expiration Date, the Company shall declare or make any dividend or other distribution of its assets (or rights to acquire its assets, other than cash) to holders of shares of Common Stock, by way of return of capital or otherwise (including, without limitation, any distribution of cash, shares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and Primary Market Limitation)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and the other Attribution Parties exceeding the Maximum Percentage or Primary Market Limitation,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or Primary Market Limitation,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4"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TRANSACTIONS</w:t>
      </w:r>
    </w:p>
    <w:p>
      <w:pPr>
        <w:spacing w:after="0" w:line="225" w:lineRule="exact"/>
        <w:rPr>
          <w:rFonts w:ascii="Times New Roman" w:cs="Times New Roman" w:eastAsia="Times New Roman" w:hAnsi="Times New Roman"/>
          <w:sz w:val="18"/>
          <w:szCs w:val="18"/>
          <w:color w:val="auto"/>
        </w:rPr>
      </w:pPr>
    </w:p>
    <w:p>
      <w:pPr>
        <w:jc w:val="both"/>
        <w:ind w:left="-8" w:firstLine="656"/>
        <w:spacing w:after="0" w:line="252" w:lineRule="auto"/>
        <w:tabs>
          <w:tab w:leader="none" w:pos="88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 2 above, if at any time on or after the Issuance Date and on or prior to the Expiration Date the Company grants, issues or sells any Options, Convertible Securities or rights to purchase shares, warrants, securities or other property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and Primary Market Limitation)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and the other Attribution Parties exceeding the Maximum Percentage or Primary Market Limitation, then the Holder shall not be entitled to participate in such Purchase Right to such extent (and shall not be entitled to beneficial ownership of such shares of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or Primary Market Limitation, at which time or times the Holder shall be granted such right (and any Purchase Right granted, issued or sold on such initial Purchase Right or on any subsequent Purchase Right to be held similarly in abeyance) to the same extent as if there had been no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94" w:name="page95"/>
    <w:bookmarkEnd w:id="94"/>
    <w:p>
      <w:pPr>
        <w:jc w:val="both"/>
        <w:ind w:left="-656" w:firstLine="656"/>
        <w:spacing w:after="0" w:line="251" w:lineRule="auto"/>
        <w:tabs>
          <w:tab w:leader="none" w:pos="2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shares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shares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require any successor entity in a Fundamental Transaction in which the Company is not the survivor (the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4(b) pursuant to written agreements in form and substance reasonably satisfactory to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4(b) regardless of (i) whether the Company has sufficient authorized shares of Common Stock for the issuance of Warrant Shares and/or (ii) whether a Fundamental Transaction occurs prior to the Initial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274320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95" w:name="page96"/>
    <w:bookmarkEnd w:id="95"/>
    <w:p>
      <w:pPr>
        <w:jc w:val="both"/>
        <w:ind w:left="-8" w:firstLine="8"/>
        <w:spacing w:after="0" w:line="253" w:lineRule="auto"/>
        <w:tabs>
          <w:tab w:leader="none" w:pos="18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and (iii) shall, following the Initial Exercise Date, so long thereafter as any of the Warrants are outstanding, take all action necessary to reserve and keep available out of its authorized and unissued shares of Common Stock, solely for the purpose of effecting the exercise of the Warrants, the number of shares of Common Stock as shall from time to time be necessary to effect the exercise of the Warrants then outstanding (without regard to any limitations on exercise).</w:t>
      </w:r>
    </w:p>
    <w:p>
      <w:pPr>
        <w:spacing w:after="0" w:line="194"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18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STOCKHOLDER</w:t>
      </w:r>
      <w:r>
        <w:rPr>
          <w:rFonts w:ascii="Times New Roman" w:cs="Times New Roman" w:eastAsia="Times New Roman" w:hAnsi="Times New Roman"/>
          <w:sz w:val="18"/>
          <w:szCs w:val="18"/>
          <w:color w:val="auto"/>
        </w:rPr>
        <w:t>. Except as otherwise specifically provided herein,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issuance of share, reclassification of share, consolidation, merger, conveyance or otherwise), receive notice of meetings, receive dividends or subscription rights, or otherwise, prior to the issuance to the Holder of (i) the Warrant Shares which such Person is then entitled to receive upon the due exercise of this Warrant or (ii) shares of Common Stock underlying the Exchange Warrants which, subsequent to the exercise of this Warrant, such Person is then entitled to receive upon the due exercise of the Exchange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94"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WARRANTS</w:t>
      </w:r>
    </w:p>
    <w:p>
      <w:pPr>
        <w:spacing w:after="0" w:line="225" w:lineRule="exact"/>
        <w:rPr>
          <w:rFonts w:ascii="Times New Roman" w:cs="Times New Roman" w:eastAsia="Times New Roman" w:hAnsi="Times New Roman"/>
          <w:sz w:val="18"/>
          <w:szCs w:val="18"/>
          <w:color w:val="auto"/>
        </w:rPr>
      </w:pPr>
    </w:p>
    <w:p>
      <w:pPr>
        <w:ind w:left="892" w:hanging="244"/>
        <w:spacing w:after="0"/>
        <w:tabs>
          <w:tab w:leader="none" w:pos="89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firstLine="980"/>
        <w:spacing w:after="0" w:line="256" w:lineRule="auto"/>
        <w:tabs>
          <w:tab w:leader="none" w:pos="1185"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FINRA Rule 5110(e), neither this Warrant nor any Warrant Shares or Exchange Warrants issued upon exercise of this Warrant shall be sold, transferred, assigned, pledged or hypothecated, or be the subject of any hedging, short sale, derivative, put or call transaction that would result in the effective economic disposition of this Warrant or any Warrant Shares or Exchange Warrants issued upon exercise of this Warrant by any person for a period of 180 days immediately following the date of commencement of sales of the offering pursuant to which this Warrant is being issued, except (i) to Maxim Group LLC or an underwriter, placement agent or a selected dealer participating in the offering pursuant to which this Warrant is being issued or (2) as provided for in FINRA Rule 5110(e)(2).</w:t>
      </w:r>
    </w:p>
    <w:p>
      <w:pPr>
        <w:spacing w:after="0" w:line="187" w:lineRule="exact"/>
        <w:rPr>
          <w:rFonts w:ascii="Times New Roman" w:cs="Times New Roman" w:eastAsia="Times New Roman" w:hAnsi="Times New Roman"/>
          <w:sz w:val="18"/>
          <w:szCs w:val="18"/>
          <w:color w:val="auto"/>
        </w:rPr>
      </w:pPr>
    </w:p>
    <w:p>
      <w:pPr>
        <w:jc w:val="both"/>
        <w:ind w:left="-8" w:firstLine="980"/>
        <w:spacing w:after="0" w:line="254" w:lineRule="auto"/>
        <w:tabs>
          <w:tab w:leader="none" w:pos="1229"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restriction, if this Warrant is to be transferred, the Holder shall surrender this Warrant to the Company, whereupon the Company will forthwith issue and deliver via electronic mail upon the order of the Holder a new Warrant (in accordance with Section 7(d)), registered as the Holder may request, representing the right to purchase the number of Warrant Shares or Exchange Warrants being transferred by the Holder and, if less than the total number of Warrant Shares or Exchange Warrants then underlying this Warrant is being transferred, a new Warrant (in accordance with Section 7(d)) to the Holder representing the right to purchase the number of Warrant Shares or Exchange Warrants not being transferred.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96" w:name="page97"/>
    <w:bookmarkEnd w:id="96"/>
    <w:p>
      <w:pPr>
        <w:jc w:val="both"/>
        <w:ind w:firstLine="656"/>
        <w:spacing w:after="0" w:line="258" w:lineRule="auto"/>
        <w:tabs>
          <w:tab w:leader="none" w:pos="93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and, in the case of loss, theft or destruction, of any indemnification undertaking by the Holder to the Company in customary form (but without the obligation to post a bond) and, in the case of mutilation, upon surrender and cancellation of this Warrant, the Company shall execute and deliver via electronic mail to the Holder a new Warrant (in accordance with Section 7(d)) representing the right to purchase the Warrant Shares or Exchange Warrants then underlying this Warrant.</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This Warrant is exchangeable, upon the surrender hereof by the Holder at the principal office of the Company, for a new Warrant or Warrants (in accordance with Section 7(d)) representing in the aggregate the right to purchase the number of Warrant Shares or Exchange Warrants then underlying this Warrant, and each such new Warrant will represent the right to purchase such portion of such Warrant Shares or Exchange Warrants as is designated by the Holder at the time of such surrender.</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New Warrants</w:t>
      </w:r>
      <w:r>
        <w:rPr>
          <w:rFonts w:ascii="Times New Roman" w:cs="Times New Roman" w:eastAsia="Times New Roman" w:hAnsi="Times New Roman"/>
          <w:sz w:val="17"/>
          <w:szCs w:val="17"/>
          <w:color w:val="auto"/>
        </w:rPr>
        <w:t>. Whenever the Company is required to issue a new Warrant pursuant to the terms of this Warrant, such new Warrant</w:t>
      </w:r>
    </w:p>
    <w:p>
      <w:pPr>
        <w:spacing w:after="0" w:line="38" w:lineRule="exact"/>
        <w:rPr>
          <w:rFonts w:ascii="Times New Roman" w:cs="Times New Roman" w:eastAsia="Times New Roman" w:hAnsi="Times New Roman"/>
          <w:sz w:val="17"/>
          <w:szCs w:val="17"/>
          <w:color w:val="auto"/>
        </w:rPr>
      </w:pPr>
    </w:p>
    <w:p>
      <w:pPr>
        <w:jc w:val="both"/>
        <w:ind w:firstLine="8"/>
        <w:spacing w:after="0" w:line="252" w:lineRule="auto"/>
        <w:tabs>
          <w:tab w:leader="none" w:pos="22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of like tenor with this Warrant, (ii) shall represent, as indicated on the face of such new Warrant, the right to purchase the Warrant Shares or Exchange Warrants then underlying this Warrant (or in the case of a new Warrant being issued pursuant to Section 7(a) or Section 7(c), the Warrant Shares or Exchange Warrants designated by the Holder which, when added to the number of shares of Common Stock underlying the other new Warrants issued in connection with such issuance, does not exceed the number of Warrant Shares or Exchange Warrants then underlying this Warrant), (iii) shall have an issuance date, as indicated on the face of such new Warrant which is the same as the Issuance Date, and (iv) shall have the same rights and conditions as this Warrant.</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89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2" w:lineRule="exact"/>
        <w:rPr>
          <w:sz w:val="20"/>
          <w:szCs w:val="20"/>
          <w:color w:val="auto"/>
        </w:rPr>
      </w:pPr>
    </w:p>
    <w:p>
      <w:pPr>
        <w:jc w:val="both"/>
        <w:ind w:firstLine="8"/>
        <w:spacing w:after="0" w:line="262" w:lineRule="auto"/>
        <w:tabs>
          <w:tab w:leader="none" w:pos="1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All dollar amounts referred to in this Warrant are in United States Dollars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All amounts owing under this Warrant shall be paid in U.S. Dollars. All amounts denominated in other currencies shall be converted in the U.S. Dollar equivalent amount in accordance with the Exchange Rate on the date of calculation.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means, in relation to any amount of currency to be converted into U.S. Dollars pursuant to this Warrant, the U.S. Dollar exchange rate as published in the Wall Street Journal (NY edition) on the relevant date of calculation.</w:t>
      </w:r>
    </w:p>
    <w:p>
      <w:pPr>
        <w:spacing w:after="0" w:line="180" w:lineRule="exact"/>
        <w:rPr>
          <w:rFonts w:ascii="Times New Roman" w:cs="Times New Roman" w:eastAsia="Times New Roman" w:hAnsi="Times New Roman"/>
          <w:sz w:val="18"/>
          <w:szCs w:val="18"/>
          <w:color w:val="auto"/>
        </w:rPr>
      </w:pPr>
    </w:p>
    <w:p>
      <w:pPr>
        <w:jc w:val="both"/>
        <w:ind w:firstLine="8"/>
        <w:spacing w:after="0" w:line="255" w:lineRule="auto"/>
        <w:tabs>
          <w:tab w:leader="none" w:pos="19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Warrant, including, without limitation, an Exercise Notice, unless otherwise provided herein, such notice shall be given in writing, (i) if delivered (a) from within the domestic United States, by first-class registered or certified airmail, or nationally recognized overnight express courier, postage prepaid or electronic mail or (b) from outside the United States, by International Federal Express or electronic mail, and (ii) will be deemed given (A) if delivered by first-class registered or certified mail domestic, three (3) Business Days after so mailed,</w:t>
      </w:r>
    </w:p>
    <w:p>
      <w:pPr>
        <w:spacing w:after="0" w:line="2"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if delivered by nationally recognized overnight carrier, one (1) Business Day after so mailed, (C) if delivered by International Federal Express, two (2) Business Days after so mailed and (D) at the time of transmission, if delivered by electronic mail to each of the email addresses specified in this Section 8 prior to 5:00 p.m. (New York time) on a Trading Day, and (E) the next Trading Day after the date of transmission, if delivered by electronic mail to each of the email addresses specified in this Section 8 on a day that is not a Trading Day or later than 5:00 p.m. (New York time) on any Trading Day, and will be delivered and addressed as follows: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if to the Company, to</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Imunon,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997 Lenox Drive, Suite 100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Lawrenceville, New Jersey 08648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Stacy R. Lindborg, Ph.D.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slindborg@imunon.com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ind w:left="660" w:right="20"/>
        <w:spacing w:after="0" w:line="284" w:lineRule="auto"/>
        <w:rPr>
          <w:sz w:val="20"/>
          <w:szCs w:val="20"/>
          <w:color w:val="auto"/>
        </w:rPr>
      </w:pPr>
      <w:r>
        <w:rPr>
          <w:rFonts w:ascii="Times New Roman" w:cs="Times New Roman" w:eastAsia="Times New Roman" w:hAnsi="Times New Roman"/>
          <w:sz w:val="18"/>
          <w:szCs w:val="18"/>
          <w:i w:val="1"/>
          <w:iCs w:val="1"/>
          <w:color w:val="auto"/>
        </w:rPr>
        <w:t>if to the Holder</w:t>
      </w:r>
      <w:r>
        <w:rPr>
          <w:rFonts w:ascii="Times New Roman" w:cs="Times New Roman" w:eastAsia="Times New Roman" w:hAnsi="Times New Roman"/>
          <w:sz w:val="18"/>
          <w:szCs w:val="18"/>
          <w:color w:val="auto"/>
        </w:rPr>
        <w:t>, at such address or other contact information delivered by the Holder to the Company or as is on the books and records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immediately upon any adjustment of the Exercise Price, setting forth in reasonable detail, and certifying, the calculation of such adjustment and (ii) at least fifteen (15) days prior to the date on which the Company closes its books or takes a record with respect to any dividend or distribution upon the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each case that such information shall be made known to the public prior to or in conjunction with such notice being provided to the Holder.</w:t>
      </w:r>
    </w:p>
    <w:p>
      <w:pPr>
        <w:spacing w:after="0" w:line="187" w:lineRule="exact"/>
        <w:rPr>
          <w:sz w:val="20"/>
          <w:szCs w:val="20"/>
          <w:color w:val="auto"/>
        </w:rPr>
      </w:pPr>
    </w:p>
    <w:p>
      <w:pPr>
        <w:jc w:val="both"/>
        <w:ind w:firstLine="8"/>
        <w:spacing w:after="0" w:line="261" w:lineRule="auto"/>
        <w:tabs>
          <w:tab w:leader="none" w:pos="28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and Holders of a majority of the Warrant Shares underlying the Warrants of the Company issued in connection with the Securities Purchase Agreement that are outstanding as of such date provide written consent.</w:t>
      </w:r>
    </w:p>
    <w:p>
      <w:pPr>
        <w:spacing w:after="0" w:line="179" w:lineRule="exact"/>
        <w:rPr>
          <w:rFonts w:ascii="Times New Roman" w:cs="Times New Roman" w:eastAsia="Times New Roman" w:hAnsi="Times New Roman"/>
          <w:sz w:val="18"/>
          <w:szCs w:val="18"/>
          <w:color w:val="auto"/>
        </w:rPr>
      </w:pPr>
    </w:p>
    <w:p>
      <w:pPr>
        <w:jc w:val="both"/>
        <w:ind w:firstLine="8"/>
        <w:spacing w:after="0" w:line="251" w:lineRule="auto"/>
        <w:tabs>
          <w:tab w:leader="none" w:pos="27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JURY TRIAL</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the Company at the address set forth in Section 9(i) above or such other address as the Company subsequently delivers to the Holder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w:t>
      </w:r>
      <w:r>
        <w:rPr>
          <w:rFonts w:ascii="Times New Roman" w:cs="Times New Roman" w:eastAsia="Times New Roman" w:hAnsi="Times New Roman"/>
          <w:sz w:val="18"/>
          <w:szCs w:val="18"/>
          <w:b w:val="1"/>
          <w:bCs w:val="1"/>
          <w:color w:val="auto"/>
        </w:rPr>
        <w:t>THE COMPANY HEREBY IRREVOCABLY</w:t>
      </w:r>
    </w:p>
    <w:p>
      <w:pPr>
        <w:spacing w:after="0" w:line="10"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WAIVES ANY RIGHT IT MAY HAVE, AND AGREES NOT TO REQUEST, A JURY TRIAL FOR THE ADJUDICATION OF ANY DISPUTE HEREUNDER OR IN CONNECTION WITH OR ARISING OUT OF THIS WARRANT OR ANY TRANSACTION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8" w:name="page99"/>
    <w:bookmarkEnd w:id="98"/>
    <w:p>
      <w:pPr>
        <w:jc w:val="both"/>
        <w:ind w:left="-8" w:firstLine="8"/>
        <w:spacing w:after="0" w:line="253" w:lineRule="auto"/>
        <w:tabs>
          <w:tab w:leader="none" w:pos="26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Exercise Price or the arithmetic calculation of the Warrant Shares or Exchange Warrants, the Company shall submit the disputed determinations or arithmetic calculations via electronic mail within two (2) Business Days of receipt of the Exercise Notice or other event giving rise to such dispute, as the case may be, to the Holder. If the Holder and the Company are unable to agree upon such determination or calculation of the Exercise Price or the Warrant Shares or Exchange Warrants within three (3) Business Days of such disputed determination or arithmetic calculation being submitted to the Holder, then the Company shall, within two (2) Business Days submit via electronic mail (a) the disputed determination of the Exercise Price to an independent, reputable investment bank selected by the Company and reasonably approved by the Holder or (b) the disputed arithmetic calculation of the Warrant Shares or Exchange Warrants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94" w:lineRule="exact"/>
        <w:rPr>
          <w:rFonts w:ascii="Times New Roman" w:cs="Times New Roman" w:eastAsia="Times New Roman" w:hAnsi="Times New Roman"/>
          <w:sz w:val="18"/>
          <w:szCs w:val="18"/>
          <w:color w:val="auto"/>
        </w:rPr>
      </w:pPr>
    </w:p>
    <w:p>
      <w:pPr>
        <w:jc w:val="both"/>
        <w:ind w:left="-8" w:firstLine="8"/>
        <w:spacing w:after="0" w:line="255" w:lineRule="auto"/>
        <w:tabs>
          <w:tab w:leader="none" w:pos="26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any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w:t>
      </w:r>
    </w:p>
    <w:p>
      <w:pPr>
        <w:spacing w:after="0" w:line="188" w:lineRule="exact"/>
        <w:rPr>
          <w:rFonts w:ascii="Times New Roman" w:cs="Times New Roman" w:eastAsia="Times New Roman" w:hAnsi="Times New Roman"/>
          <w:sz w:val="18"/>
          <w:szCs w:val="18"/>
          <w:color w:val="auto"/>
        </w:rPr>
      </w:pPr>
    </w:p>
    <w:p>
      <w:pPr>
        <w:ind w:left="-8" w:firstLine="8"/>
        <w:spacing w:after="0" w:line="282" w:lineRule="auto"/>
        <w:tabs>
          <w:tab w:leader="none" w:pos="27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Warrant and the Warrant Shares or Exchange Warrants may be offered for sale, sold, transferred, pledged or assigned without the consent of the Company, pursuant to the terms set forth in Section 7(a)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99" w:name="page100"/>
    <w:bookmarkEnd w:id="99"/>
    <w:p>
      <w:pPr>
        <w:jc w:val="both"/>
        <w:ind w:left="-8" w:firstLine="8"/>
        <w:spacing w:after="0" w:line="253" w:lineRule="auto"/>
        <w:tabs>
          <w:tab w:leader="none" w:pos="27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CONSTRUCTION; HEADINGS</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p>
      <w:pPr>
        <w:spacing w:after="0" w:line="194" w:lineRule="exact"/>
        <w:rPr>
          <w:rFonts w:ascii="Times New Roman" w:cs="Times New Roman" w:eastAsia="Times New Roman" w:hAnsi="Times New Roman"/>
          <w:sz w:val="18"/>
          <w:szCs w:val="18"/>
          <w:color w:val="auto"/>
        </w:rPr>
      </w:pPr>
    </w:p>
    <w:p>
      <w:pPr>
        <w:jc w:val="both"/>
        <w:ind w:left="-8" w:firstLine="8"/>
        <w:spacing w:after="0" w:line="256" w:lineRule="auto"/>
        <w:tabs>
          <w:tab w:leader="none" w:pos="26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Upon receipt or delivery by the Company of any notice in accordance with the terms of this Warrant, unless the Company has in good faith determined that the matters relating to such notice do not constitute material, nonpublic information relating to the Company or its subsidiaries, the Company shall contemporaneously with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spacing w:after="0" w:line="187"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1" w:lineRule="exact"/>
        <w:rPr>
          <w:rFonts w:ascii="Times New Roman" w:cs="Times New Roman" w:eastAsia="Times New Roman" w:hAnsi="Times New Roman"/>
          <w:sz w:val="18"/>
          <w:szCs w:val="18"/>
          <w:color w:val="auto"/>
        </w:rPr>
      </w:pPr>
    </w:p>
    <w:p>
      <w:pPr>
        <w:jc w:val="both"/>
        <w:ind w:left="-8" w:firstLine="656"/>
        <w:spacing w:after="0" w:line="262" w:lineRule="auto"/>
        <w:tabs>
          <w:tab w:leader="none" w:pos="88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shares having ordinary voting power for the election of directors of such Person or direct or cause the direction of the management and policies of such Person whether by contract or otherwise.</w:t>
      </w:r>
    </w:p>
    <w:p>
      <w:pPr>
        <w:spacing w:after="0" w:line="176" w:lineRule="exact"/>
        <w:rPr>
          <w:rFonts w:ascii="Times New Roman" w:cs="Times New Roman" w:eastAsia="Times New Roman" w:hAnsi="Times New Roman"/>
          <w:sz w:val="18"/>
          <w:szCs w:val="18"/>
          <w:color w:val="auto"/>
        </w:rPr>
      </w:pPr>
    </w:p>
    <w:p>
      <w:pPr>
        <w:jc w:val="both"/>
        <w:ind w:left="-8" w:firstLine="656"/>
        <w:spacing w:after="0" w:line="257" w:lineRule="auto"/>
        <w:tabs>
          <w:tab w:leader="none" w:pos="89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shares of Common Stock would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00" w:name="page101"/>
    <w:bookmarkEnd w:id="100"/>
    <w:p>
      <w:pPr>
        <w:ind w:right="20" w:firstLine="656"/>
        <w:spacing w:after="0" w:line="286" w:lineRule="auto"/>
        <w:tabs>
          <w:tab w:leader="none" w:pos="89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90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Company’s common stock, par value $0.01 per share, and any capital stock into which such common stock shall have been changed or any capital stock resulting from a reclassification of such common stock.</w:t>
      </w:r>
    </w:p>
    <w:p>
      <w:pPr>
        <w:spacing w:after="0" w:line="154" w:lineRule="exact"/>
        <w:rPr>
          <w:rFonts w:ascii="Times New Roman" w:cs="Times New Roman" w:eastAsia="Times New Roman" w:hAnsi="Times New Roman"/>
          <w:sz w:val="18"/>
          <w:szCs w:val="18"/>
          <w:color w:val="auto"/>
        </w:rPr>
      </w:pPr>
    </w:p>
    <w:p>
      <w:pPr>
        <w:jc w:val="both"/>
        <w:ind w:right="20" w:firstLine="656"/>
        <w:spacing w:after="0" w:line="268" w:lineRule="auto"/>
        <w:tabs>
          <w:tab w:leader="none" w:pos="89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shares of Common Stock, including, without limitation, any debt, preferred stock, right, option, warrant or other instrument that is at any time convertible into or exercisable or exchangeable for, or otherwise entitles the holder thereof to receive, shares of Common Stock.</w:t>
      </w:r>
    </w:p>
    <w:p>
      <w:pPr>
        <w:spacing w:after="0" w:line="170" w:lineRule="exact"/>
        <w:rPr>
          <w:rFonts w:ascii="Times New Roman" w:cs="Times New Roman" w:eastAsia="Times New Roman" w:hAnsi="Times New Roman"/>
          <w:sz w:val="18"/>
          <w:szCs w:val="18"/>
          <w:color w:val="auto"/>
        </w:rPr>
      </w:pPr>
    </w:p>
    <w:p>
      <w:pPr>
        <w:ind w:firstLine="656"/>
        <w:spacing w:after="0" w:line="286" w:lineRule="auto"/>
        <w:tabs>
          <w:tab w:leader="none" w:pos="91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share or securities (other than Options) directly or indirectly convertible into or exercisable or exchangeable for shares of Common Stock.</w:t>
      </w:r>
    </w:p>
    <w:p>
      <w:pPr>
        <w:spacing w:after="0" w:line="162" w:lineRule="exact"/>
        <w:rPr>
          <w:rFonts w:ascii="Times New Roman" w:cs="Times New Roman" w:eastAsia="Times New Roman" w:hAnsi="Times New Roman"/>
          <w:sz w:val="18"/>
          <w:szCs w:val="18"/>
          <w:color w:val="auto"/>
        </w:rPr>
      </w:pPr>
    </w:p>
    <w:p>
      <w:pPr>
        <w:ind w:firstLine="656"/>
        <w:spacing w:after="0" w:line="216" w:lineRule="auto"/>
        <w:tabs>
          <w:tab w:leader="none" w:pos="91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 ], 2031</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date falls on a day other than a Trading Day, the next day that is a Trading Day.</w:t>
      </w:r>
    </w:p>
    <w:p>
      <w:pPr>
        <w:spacing w:after="0" w:line="19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1934 Act and as defined in Rule 13d-5 thereunder.</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25" w:lineRule="exact"/>
        <w:rPr>
          <w:rFonts w:ascii="Times New Roman" w:cs="Times New Roman" w:eastAsia="Times New Roman" w:hAnsi="Times New Roman"/>
          <w:sz w:val="18"/>
          <w:szCs w:val="18"/>
          <w:color w:val="auto"/>
        </w:rPr>
      </w:pPr>
    </w:p>
    <w:p>
      <w:pPr>
        <w:ind w:right="20" w:firstLine="656"/>
        <w:spacing w:after="0" w:line="286" w:lineRule="auto"/>
        <w:tabs>
          <w:tab w:leader="none" w:pos="86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54" w:lineRule="exact"/>
        <w:rPr>
          <w:rFonts w:ascii="Times New Roman" w:cs="Times New Roman" w:eastAsia="Times New Roman" w:hAnsi="Times New Roman"/>
          <w:sz w:val="18"/>
          <w:szCs w:val="18"/>
          <w:color w:val="auto"/>
        </w:rPr>
      </w:pPr>
    </w:p>
    <w:p>
      <w:pPr>
        <w:ind w:right="20" w:firstLine="656"/>
        <w:spacing w:after="0" w:line="286" w:lineRule="auto"/>
        <w:tabs>
          <w:tab w:leader="none" w:pos="91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mean the Securities Purchase Agreement, dated as of [ ], 2026, by and between the Company and the Purchaser signatories thereto.</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87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Company’s primary Trading Market or quotation system with respect to the shares of Common Stock that is in effect on the date of receipt of an applicable Exercise Notice.</w:t>
      </w:r>
    </w:p>
    <w:p>
      <w:pPr>
        <w:spacing w:after="0" w:line="154"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the principal Trading Market, OTCQB or OTCQX, as applicable, is open for trading.</w:t>
      </w:r>
    </w:p>
    <w:p>
      <w:pPr>
        <w:spacing w:after="0" w:line="225" w:lineRule="exact"/>
        <w:rPr>
          <w:rFonts w:ascii="Times New Roman" w:cs="Times New Roman" w:eastAsia="Times New Roman" w:hAnsi="Times New Roman"/>
          <w:sz w:val="18"/>
          <w:szCs w:val="18"/>
          <w:color w:val="auto"/>
        </w:rPr>
      </w:pPr>
    </w:p>
    <w:p>
      <w:pPr>
        <w:ind w:firstLine="656"/>
        <w:spacing w:after="0" w:line="286" w:lineRule="auto"/>
        <w:tabs>
          <w:tab w:leader="none" w:pos="93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a national securities exchange registered with the SEC under Section 6 of the Securities Exchange Act of 1934, as amended, on which the shares of Common Stock are listed or quoted for trading as of the Issuance Date.</w:t>
      </w:r>
    </w:p>
    <w:p>
      <w:pPr>
        <w:spacing w:after="0" w:line="15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any agreement entered into by and between the Company and the Holder, as applicable.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4" w:lineRule="exact"/>
        <w:rPr>
          <w:sz w:val="20"/>
          <w:szCs w:val="20"/>
          <w:color w:val="auto"/>
        </w:rPr>
      </w:pPr>
    </w:p>
    <w:p>
      <w:pPr>
        <w:ind w:left="120" w:hanging="112"/>
        <w:spacing w:after="0"/>
        <w:tabs>
          <w:tab w:leader="none" w:pos="120" w:val="left"/>
        </w:tabs>
        <w:numPr>
          <w:ilvl w:val="0"/>
          <w:numId w:val="10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Date that is five years after the effective date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Company has caused this Warrant to be duly executed as of the Issuance Date set out above.</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Stacy R. Lindborg,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-121920</wp:posOffset>
            </wp:positionV>
            <wp:extent cx="32061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280035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684" w:right="1440" w:bottom="1440" w:gutter="0" w:footer="0" w:header="0"/>
        </w:sectPr>
      </w:pPr>
    </w:p>
    <w:bookmarkStart w:id="102" w:name="page103"/>
    <w:bookmarkEnd w:id="102"/>
    <w:p>
      <w:pPr>
        <w:ind w:left="1030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SHARES OF COMMON STOCK OR EXCHANGE WARRANTS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 _________________ shares of Common Stock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and/or warrants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________________ shares of Common Stock at an exercise price of $0.0001 (the “</w:t>
      </w:r>
      <w:r>
        <w:rPr>
          <w:rFonts w:ascii="Times New Roman" w:cs="Times New Roman" w:eastAsia="Times New Roman" w:hAnsi="Times New Roman"/>
          <w:sz w:val="18"/>
          <w:szCs w:val="18"/>
          <w:b w:val="1"/>
          <w:bCs w:val="1"/>
          <w:color w:val="auto"/>
        </w:rPr>
        <w:t>Exchange Warrants</w:t>
      </w:r>
      <w:r>
        <w:rPr>
          <w:rFonts w:ascii="Times New Roman" w:cs="Times New Roman" w:eastAsia="Times New Roman" w:hAnsi="Times New Roman"/>
          <w:sz w:val="18"/>
          <w:szCs w:val="18"/>
          <w:color w:val="auto"/>
        </w:rPr>
        <w:t>”) of Imunon, Inc., a Delaware</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the attached Warrant to Purchase Common Stock or Exchange Warrants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181" w:lineRule="exact"/>
        <w:rPr>
          <w:sz w:val="20"/>
          <w:szCs w:val="20"/>
          <w:color w:val="auto"/>
        </w:rPr>
      </w:pPr>
    </w:p>
    <w:p>
      <w:pPr>
        <w:ind w:left="520" w:hanging="188"/>
        <w:spacing w:after="0"/>
        <w:tabs>
          <w:tab w:leader="none" w:pos="5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The Holder intends that payment of the Exercise Price shall be made with respect to _________________ Warrant Shares and/or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 Exchange Warrants.</w:t>
      </w:r>
    </w:p>
    <w:p>
      <w:pPr>
        <w:spacing w:after="0" w:line="206" w:lineRule="exact"/>
        <w:rPr>
          <w:rFonts w:ascii="Times New Roman" w:cs="Times New Roman" w:eastAsia="Times New Roman" w:hAnsi="Times New Roman"/>
          <w:sz w:val="18"/>
          <w:szCs w:val="18"/>
          <w:color w:val="auto"/>
        </w:rPr>
      </w:pPr>
    </w:p>
    <w:p>
      <w:pPr>
        <w:ind w:firstLine="332"/>
        <w:spacing w:after="0" w:line="282" w:lineRule="auto"/>
        <w:tabs>
          <w:tab w:leader="none" w:pos="51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Exercise Price. The Holder shall pay the Aggregate Exercise Price in the sum of $_________________ to the Company in accordance with the terms of the Warrant.</w:t>
      </w:r>
    </w:p>
    <w:p>
      <w:pPr>
        <w:spacing w:after="0" w:line="161"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Warrant Shares and/or Exchange Warrants. The Company shall deliver to the holder _________________Warrant Shares and/or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_________________Exchange Warrants in accordance with the terms of the 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PREFUNDED WARRANT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PURCHASE SHARES OF COMMON STOCK</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 LEASE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THIRD AMENDMENT TO LEASE (the “Amendment”) is entered into this 31st day of August, 2023, between LENOX DRIVE OFFICE PARK, LLC, a Delaware limited liability company (“Landlord”), and IMUNON, INC. (fka CELSION CORPORATION), a Delaware corporation (“Tenant”).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Landlord and Tenant are parties to a certain Lease dated July 14, 2011 (the “Original Lease”), as amended by (i) a certain First Amendment to Lease dated April 20, 2017 (the “First Amendment”), and (ii) a certain Second Amendment to Lease dated January 9, 2019 (the “Second Amendment”) (the Original Lease, the First Amendment and the Second Amendment are referred to collectively herein as the “Lease”). The Lease covers certain premises (the “Premises”) deemed to contain 9,850 rentable square feet located on the first (1st) floor of the building located at 997 Lenox Drive, Lawrenceville, New Jersey, as more particularly described in the Lease. The Term (as defined in the Lease) is scheduled to expire on August 31, 2023. Landlord and Tenant desire to extend the Term of the Lease and to modify certain other terms and provisions of the Lease, subject to the terms and conditions herein.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of the mutual promises contained in this Amendment, and for other good and valuable consideration the receipt and sufficiency of which is acknowledged by Landlord and Tenant, and intending to be legally bound hereby, Landlord and Tenant agree as follows:</w:t>
      </w:r>
    </w:p>
    <w:p>
      <w:pPr>
        <w:spacing w:after="0" w:line="176" w:lineRule="exact"/>
        <w:rPr>
          <w:sz w:val="20"/>
          <w:szCs w:val="20"/>
          <w:color w:val="auto"/>
        </w:rPr>
      </w:pPr>
    </w:p>
    <w:p>
      <w:pPr>
        <w:ind w:firstLine="8"/>
        <w:spacing w:after="0" w:line="282" w:lineRule="auto"/>
        <w:tabs>
          <w:tab w:leader="none" w:pos="193"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Recitals; Definitions.</w:t>
      </w:r>
      <w:r>
        <w:rPr>
          <w:rFonts w:ascii="Times New Roman" w:cs="Times New Roman" w:eastAsia="Times New Roman" w:hAnsi="Times New Roman"/>
          <w:sz w:val="18"/>
          <w:szCs w:val="18"/>
          <w:color w:val="auto"/>
        </w:rPr>
        <w:t xml:space="preserve"> The recitals are incorporated herein by reference. Any and all terms not defined herein shall have the meanings set forth in the Lease.</w:t>
      </w:r>
    </w:p>
    <w:p>
      <w:pPr>
        <w:spacing w:after="0" w:line="161" w:lineRule="exact"/>
        <w:rPr>
          <w:rFonts w:ascii="Times New Roman" w:cs="Times New Roman" w:eastAsia="Times New Roman" w:hAnsi="Times New Roman"/>
          <w:sz w:val="18"/>
          <w:szCs w:val="18"/>
          <w:b w:val="1"/>
          <w:bCs w:val="1"/>
          <w:color w:val="auto"/>
        </w:rPr>
      </w:pPr>
    </w:p>
    <w:p>
      <w:pPr>
        <w:ind w:right="20" w:firstLine="8"/>
        <w:spacing w:after="0" w:line="282" w:lineRule="auto"/>
        <w:tabs>
          <w:tab w:leader="none" w:pos="18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Extension of Term.</w:t>
      </w:r>
      <w:r>
        <w:rPr>
          <w:rFonts w:ascii="Times New Roman" w:cs="Times New Roman" w:eastAsia="Times New Roman" w:hAnsi="Times New Roman"/>
          <w:sz w:val="18"/>
          <w:szCs w:val="18"/>
          <w:color w:val="auto"/>
        </w:rPr>
        <w:t xml:space="preserve"> The Term of the Lease is hereby extended so as to expire at 11:59 p.m. on August 31, 2025 (the “New 2025 Expiration Date”), and the New 2025 Expiration Date shall be the Expiration Date of the Lease for all purposes under the Lease, as amended by this Amendment.</w:t>
      </w:r>
    </w:p>
    <w:p>
      <w:pPr>
        <w:spacing w:after="0" w:line="161" w:lineRule="exact"/>
        <w:rPr>
          <w:rFonts w:ascii="Times New Roman" w:cs="Times New Roman" w:eastAsia="Times New Roman" w:hAnsi="Times New Roman"/>
          <w:sz w:val="18"/>
          <w:szCs w:val="18"/>
          <w:b w:val="1"/>
          <w:bCs w:val="1"/>
          <w:color w:val="auto"/>
        </w:rPr>
      </w:pPr>
    </w:p>
    <w:p>
      <w:pPr>
        <w:ind w:firstLine="8"/>
        <w:spacing w:after="0" w:line="282" w:lineRule="auto"/>
        <w:tabs>
          <w:tab w:leader="none" w:pos="18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AS-IS Condition.</w:t>
      </w:r>
      <w:r>
        <w:rPr>
          <w:rFonts w:ascii="Times New Roman" w:cs="Times New Roman" w:eastAsia="Times New Roman" w:hAnsi="Times New Roman"/>
          <w:sz w:val="18"/>
          <w:szCs w:val="18"/>
          <w:color w:val="auto"/>
        </w:rPr>
        <w:t xml:space="preserve"> Tenant accepts the Premises in their current “AS-IS” condition, with all faults. Landlord shall not be required to perform any tenant improvements or other work in and/or to the Premises in connection with this Amendment.</w:t>
      </w:r>
    </w:p>
    <w:p>
      <w:pPr>
        <w:spacing w:after="0" w:line="161" w:lineRule="exact"/>
        <w:rPr>
          <w:rFonts w:ascii="Times New Roman" w:cs="Times New Roman" w:eastAsia="Times New Roman" w:hAnsi="Times New Roman"/>
          <w:sz w:val="18"/>
          <w:szCs w:val="18"/>
          <w:b w:val="1"/>
          <w:bCs w:val="1"/>
          <w:color w:val="auto"/>
        </w:rPr>
      </w:pPr>
    </w:p>
    <w:p>
      <w:pPr>
        <w:ind w:right="20" w:firstLine="8"/>
        <w:spacing w:after="0" w:line="282" w:lineRule="auto"/>
        <w:tabs>
          <w:tab w:leader="none" w:pos="193"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Fixed Basic Rent.</w:t>
      </w:r>
      <w:r>
        <w:rPr>
          <w:rFonts w:ascii="Times New Roman" w:cs="Times New Roman" w:eastAsia="Times New Roman" w:hAnsi="Times New Roman"/>
          <w:sz w:val="18"/>
          <w:szCs w:val="18"/>
          <w:color w:val="auto"/>
        </w:rPr>
        <w:t xml:space="preserve"> From and after September 1, 2023, and through the New 2025 Expiration Date, the Fixed Basic Rent shall equal the following amounts for and during the following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Fixed Basic Rent per</w:t>
            </w:r>
          </w:p>
        </w:tc>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Annual Fixed Basic</w:t>
            </w:r>
          </w:p>
        </w:tc>
        <w:tc>
          <w:tcPr>
            <w:tcW w:w="218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Monthly Fixed Basic</w:t>
            </w:r>
          </w:p>
        </w:tc>
      </w:t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Applicable Period</w:t>
            </w:r>
          </w:p>
        </w:tc>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RSF</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Rent</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Rent</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9/1/2023 – 8/31/2024</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3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275,799.96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22,983.33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9/1/2024 – 8/31/2025</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28.50</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280,725.00</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23,393.75</w:t>
            </w:r>
          </w:p>
        </w:tc>
      </w:tr>
    </w:tbl>
    <w:p>
      <w:pPr>
        <w:spacing w:after="0" w:line="179" w:lineRule="exact"/>
        <w:rPr>
          <w:sz w:val="20"/>
          <w:szCs w:val="20"/>
          <w:color w:val="auto"/>
        </w:rPr>
      </w:pPr>
    </w:p>
    <w:p>
      <w:pPr>
        <w:jc w:val="both"/>
        <w:ind w:firstLine="8"/>
        <w:spacing w:after="0" w:line="261" w:lineRule="auto"/>
        <w:tabs>
          <w:tab w:leader="none" w:pos="193"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Additional Rent/Utilities/Base Year/Tenant’s Percentage.</w:t>
      </w:r>
      <w:r>
        <w:rPr>
          <w:rFonts w:ascii="Times New Roman" w:cs="Times New Roman" w:eastAsia="Times New Roman" w:hAnsi="Times New Roman"/>
          <w:sz w:val="18"/>
          <w:szCs w:val="18"/>
          <w:color w:val="auto"/>
        </w:rPr>
        <w:t xml:space="preserve"> Tenant shall continue to pay Additional Rent, Operating Expenses, and Utilities in the same manner as presently paid pursuant to the Lease except as set forth herein which shall be applicable after the Commencement Date. Electricity shall be charged at the rate of the greater of $1.75 per rentable square foot or the adjusted rate as described in Section 5 of the Lease. Tenant’s Percentage as described in Section 4 (A) of the Lease for the Premises shall continue to be 10.13%. Tenant’s Base Year shall remain Calendar Year 2017.</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5" w:name="page106"/>
    <w:bookmarkEnd w:id="105"/>
    <w:p>
      <w:pPr>
        <w:ind w:firstLine="8"/>
        <w:spacing w:after="0" w:line="282" w:lineRule="auto"/>
        <w:tabs>
          <w:tab w:leader="none" w:pos="207"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Right of Termination.</w:t>
      </w:r>
      <w:r>
        <w:rPr>
          <w:rFonts w:ascii="Times New Roman" w:cs="Times New Roman" w:eastAsia="Times New Roman" w:hAnsi="Times New Roman"/>
          <w:sz w:val="18"/>
          <w:szCs w:val="18"/>
          <w:color w:val="auto"/>
        </w:rPr>
        <w:t xml:space="preserve"> Tenant’s right of termination as set forth in Section 7 of the First Amendment, as amended by Section 7 of the Second Amendment, is hereby declared null and void and of no further force or effect.</w:t>
      </w:r>
    </w:p>
    <w:p>
      <w:pPr>
        <w:spacing w:after="0" w:line="161" w:lineRule="exact"/>
        <w:rPr>
          <w:rFonts w:ascii="Times New Roman" w:cs="Times New Roman" w:eastAsia="Times New Roman" w:hAnsi="Times New Roman"/>
          <w:sz w:val="18"/>
          <w:szCs w:val="18"/>
          <w:b w:val="1"/>
          <w:bCs w:val="1"/>
          <w:color w:val="auto"/>
        </w:rPr>
      </w:pPr>
    </w:p>
    <w:p>
      <w:pPr>
        <w:ind w:firstLine="8"/>
        <w:spacing w:after="0" w:line="282" w:lineRule="auto"/>
        <w:tabs>
          <w:tab w:leader="none" w:pos="18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Security Deposit.</w:t>
      </w:r>
      <w:r>
        <w:rPr>
          <w:rFonts w:ascii="Times New Roman" w:cs="Times New Roman" w:eastAsia="Times New Roman" w:hAnsi="Times New Roman"/>
          <w:sz w:val="18"/>
          <w:szCs w:val="18"/>
          <w:color w:val="auto"/>
        </w:rPr>
        <w:t xml:space="preserve"> The parties hereby confirm that Landlord is holding a Cash Security Deposit in the amount of $50,000.00. The Security Deposit shall secure the obligations of Tenant under the Lease and shall apply to the Premises.</w:t>
      </w:r>
    </w:p>
    <w:p>
      <w:pPr>
        <w:spacing w:after="0" w:line="161"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Renewal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660" w:hanging="4"/>
        <w:spacing w:after="0" w:line="282" w:lineRule="auto"/>
        <w:tabs>
          <w:tab w:leader="none" w:pos="83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hereinafter provided, and notwithstanding any provision to the contrary contained in the Lease, Tenant shall have no right to extend or renew the Term of the Lease, as amended by this Amendment, except as set forth in Section 8b below.</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849"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have the right to renew the Term of the Lease, as amended by this Amendment, subject to and in accordance with the terms and provisions of Exhibit A attached to and made a part of this Amendment.</w:t>
      </w:r>
    </w:p>
    <w:p>
      <w:pPr>
        <w:spacing w:after="0" w:line="161" w:lineRule="exact"/>
        <w:rPr>
          <w:rFonts w:ascii="Times New Roman" w:cs="Times New Roman" w:eastAsia="Times New Roman" w:hAnsi="Times New Roman"/>
          <w:sz w:val="18"/>
          <w:szCs w:val="18"/>
          <w:color w:val="auto"/>
        </w:rPr>
      </w:pPr>
    </w:p>
    <w:p>
      <w:pPr>
        <w:jc w:val="both"/>
        <w:ind w:firstLine="8"/>
        <w:spacing w:after="0" w:line="258" w:lineRule="auto"/>
        <w:tabs>
          <w:tab w:leader="none" w:pos="18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Broker.</w:t>
      </w:r>
      <w:r>
        <w:rPr>
          <w:rFonts w:ascii="Times New Roman" w:cs="Times New Roman" w:eastAsia="Times New Roman" w:hAnsi="Times New Roman"/>
          <w:sz w:val="18"/>
          <w:szCs w:val="18"/>
          <w:color w:val="auto"/>
        </w:rPr>
        <w:t xml:space="preserve"> Each party represents and warrants to the other that, except for Newmark and Cresa Global, Inc. (together, “Broker”), it has dealt with no broker, finder, real estate agent or other similar person who is entitled to a brokerage commission, fee or other similar compensation in connection with this Amendment. Landlord shall pay Broker a commission pursuant to a separate agreement. Each party agrees to indemnify and hold the other harmless from and against all causes of action, liabilities and costs (including reasonable attorney’s fees) arising in connection with a breach of such party’s foregoing representation and warranty.</w:t>
      </w:r>
    </w:p>
    <w:p>
      <w:pPr>
        <w:spacing w:after="0" w:line="183" w:lineRule="exact"/>
        <w:rPr>
          <w:rFonts w:ascii="Times New Roman" w:cs="Times New Roman" w:eastAsia="Times New Roman" w:hAnsi="Times New Roman"/>
          <w:sz w:val="18"/>
          <w:szCs w:val="18"/>
          <w:b w:val="1"/>
          <w:bCs w:val="1"/>
          <w:color w:val="auto"/>
        </w:rPr>
      </w:pPr>
    </w:p>
    <w:p>
      <w:pPr>
        <w:jc w:val="both"/>
        <w:ind w:firstLine="8"/>
        <w:spacing w:after="0" w:line="266" w:lineRule="auto"/>
        <w:tabs>
          <w:tab w:leader="none" w:pos="27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Event of Default.</w:t>
      </w:r>
      <w:r>
        <w:rPr>
          <w:rFonts w:ascii="Times New Roman" w:cs="Times New Roman" w:eastAsia="Times New Roman" w:hAnsi="Times New Roman"/>
          <w:sz w:val="18"/>
          <w:szCs w:val="18"/>
          <w:color w:val="auto"/>
        </w:rPr>
        <w:t xml:space="preserve"> Tenant confirms that as of the date hereof, (i) Landlord has fully complied with all of its obligations according to the Lease and (ii) no event has occurred and condition exists which, with the passage of time or giving of notice, or both, would constitute default by Landlord under the Lease.</w:t>
      </w:r>
    </w:p>
    <w:p>
      <w:pPr>
        <w:spacing w:after="0" w:line="175" w:lineRule="exact"/>
        <w:rPr>
          <w:rFonts w:ascii="Times New Roman" w:cs="Times New Roman" w:eastAsia="Times New Roman" w:hAnsi="Times New Roman"/>
          <w:sz w:val="18"/>
          <w:szCs w:val="18"/>
          <w:b w:val="1"/>
          <w:bCs w:val="1"/>
          <w:color w:val="auto"/>
        </w:rPr>
      </w:pPr>
    </w:p>
    <w:p>
      <w:pPr>
        <w:jc w:val="both"/>
        <w:ind w:firstLine="8"/>
        <w:spacing w:after="0" w:line="256" w:lineRule="auto"/>
        <w:tabs>
          <w:tab w:leader="none" w:pos="2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Modification.</w:t>
      </w:r>
      <w:r>
        <w:rPr>
          <w:rFonts w:ascii="Times New Roman" w:cs="Times New Roman" w:eastAsia="Times New Roman" w:hAnsi="Times New Roman"/>
          <w:sz w:val="18"/>
          <w:szCs w:val="18"/>
          <w:color w:val="auto"/>
        </w:rPr>
        <w:t xml:space="preserve"> If there is any conflict between the terms and provisions of the Lease and the terms and provisions of this Amendment, the terms and provisions of this Amendment shall prevail. Landlord and Tenant hereby acknowledge and agree that, except as provided in this Amendment, the Lease has not been modified, amended, canceled, terminated, released, superseded or otherwise rendered of no force or effect. Landlord and Tenant ratify and affirm the Lease as modified by this Amendment. Except as herein otherwise expressly provided, or except as the terms of the Lease may be in conflict with or inconsistent with the terms of this Amendment, all of the terms, covenants and provisions of the Lease are hereby incorporated into and made a part of this Amendment as if fully set forth herein.</w:t>
      </w:r>
    </w:p>
    <w:p>
      <w:pPr>
        <w:spacing w:after="0" w:line="187" w:lineRule="exact"/>
        <w:rPr>
          <w:rFonts w:ascii="Times New Roman" w:cs="Times New Roman" w:eastAsia="Times New Roman" w:hAnsi="Times New Roman"/>
          <w:sz w:val="18"/>
          <w:szCs w:val="18"/>
          <w:b w:val="1"/>
          <w:bCs w:val="1"/>
          <w:color w:val="auto"/>
        </w:rPr>
      </w:pPr>
    </w:p>
    <w:p>
      <w:pPr>
        <w:ind w:firstLine="8"/>
        <w:spacing w:after="0" w:line="282" w:lineRule="auto"/>
        <w:tabs>
          <w:tab w:leader="none" w:pos="283"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Paragraph Headings.</w:t>
      </w:r>
      <w:r>
        <w:rPr>
          <w:rFonts w:ascii="Times New Roman" w:cs="Times New Roman" w:eastAsia="Times New Roman" w:hAnsi="Times New Roman"/>
          <w:sz w:val="18"/>
          <w:szCs w:val="18"/>
          <w:color w:val="auto"/>
        </w:rPr>
        <w:t xml:space="preserve"> Paragraph headings are for convenience of reference only and in no way define, describe or limit the scope or intent of this Amendment or any of the provisions hereof.</w:t>
      </w:r>
    </w:p>
    <w:p>
      <w:pPr>
        <w:spacing w:after="0" w:line="161" w:lineRule="exact"/>
        <w:rPr>
          <w:rFonts w:ascii="Times New Roman" w:cs="Times New Roman" w:eastAsia="Times New Roman" w:hAnsi="Times New Roman"/>
          <w:sz w:val="18"/>
          <w:szCs w:val="18"/>
          <w:b w:val="1"/>
          <w:bCs w:val="1"/>
          <w:color w:val="auto"/>
        </w:rPr>
      </w:pPr>
    </w:p>
    <w:p>
      <w:pPr>
        <w:jc w:val="both"/>
        <w:ind w:firstLine="8"/>
        <w:spacing w:after="0" w:line="266" w:lineRule="auto"/>
        <w:tabs>
          <w:tab w:leader="none" w:pos="27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of the Lease or this Amendment is held by a court of competent jurisdiction to be legally invalid or unenforceable for any reason, the remaining provisions shall not be impaired or affected in any way and shall remain in full effect as if this agreement had been executed without the invalid provision.</w:t>
      </w:r>
    </w:p>
    <w:p>
      <w:pPr>
        <w:spacing w:after="0" w:line="175" w:lineRule="exact"/>
        <w:rPr>
          <w:rFonts w:ascii="Times New Roman" w:cs="Times New Roman" w:eastAsia="Times New Roman" w:hAnsi="Times New Roman"/>
          <w:sz w:val="18"/>
          <w:szCs w:val="18"/>
          <w:b w:val="1"/>
          <w:bCs w:val="1"/>
          <w:color w:val="auto"/>
        </w:rPr>
      </w:pPr>
    </w:p>
    <w:p>
      <w:pPr>
        <w:ind w:firstLine="8"/>
        <w:spacing w:after="0" w:line="282" w:lineRule="auto"/>
        <w:tabs>
          <w:tab w:leader="none" w:pos="27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Amendment shall inure to the benefit of, be enforceable by and against, and be binding upon, the successors and assigns of Landlord and the permitted successors and assigns of Tenant.</w:t>
      </w:r>
    </w:p>
    <w:p>
      <w:pPr>
        <w:spacing w:after="0" w:line="161" w:lineRule="exact"/>
        <w:rPr>
          <w:rFonts w:ascii="Times New Roman" w:cs="Times New Roman" w:eastAsia="Times New Roman" w:hAnsi="Times New Roman"/>
          <w:sz w:val="18"/>
          <w:szCs w:val="18"/>
          <w:b w:val="1"/>
          <w:bCs w:val="1"/>
          <w:color w:val="auto"/>
        </w:rPr>
      </w:pPr>
    </w:p>
    <w:p>
      <w:pPr>
        <w:jc w:val="both"/>
        <w:ind w:firstLine="8"/>
        <w:spacing w:after="0" w:line="266" w:lineRule="auto"/>
        <w:tabs>
          <w:tab w:leader="none" w:pos="27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Amendment may be executed in one or more counterparts, each of which shall constitute an original and all of which taken together shall constitute one and the same instrument. This Amendment may further be executed by facsimile and electronic signatures, which shall be as valid as original signatures; notwithstanding the foregoing, each party shall furnish an original signature upon the request of any other party.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color w:val="auto"/>
        </w:rPr>
        <w:t>IN WITNESS WHEREOF, Landlord and Tenant have executed this Amendment on the day and year first above written.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LENOX DRIVE OFFICE PARK, LLC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Joseph Friedland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Joseph Friedland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[Signature Page to Third Amendment to Lease]</w:t>
      </w:r>
    </w:p>
    <w:p>
      <w:pPr>
        <w:spacing w:after="0" w:line="2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RENEWAL OPTION</w:t>
      </w:r>
    </w:p>
    <w:p>
      <w:pPr>
        <w:spacing w:after="0" w:line="229" w:lineRule="exact"/>
        <w:rPr>
          <w:sz w:val="20"/>
          <w:szCs w:val="20"/>
          <w:color w:val="auto"/>
        </w:rPr>
      </w:pPr>
    </w:p>
    <w:p>
      <w:pPr>
        <w:jc w:val="both"/>
        <w:ind w:firstLine="8"/>
        <w:spacing w:after="0" w:line="254" w:lineRule="auto"/>
        <w:tabs>
          <w:tab w:leader="none" w:pos="19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provided the Lease, as amended by this Amendment, shall then be in full force and effect, shall have the option (herein called a “Renewal Option”) to extend the Term for an additional two (2) year period (the “Renewal Term”), which Renewal Term shall commence on the date immediately succeeding the New 2025 Expiration Date, and end on the second (2nd) anniversary of the New 2025 Expiration Date (such anniversary being herein called the “Renewal Expiration Date”). The Renewal Option shall be exercisable only by Tenant giving Landlord written notice of such exercise (herein called the “Renewal Notice”), which notice shall be received by Landlord not later than the date that is nine (9) months prior, nor earlier than the date that is twelve (12) months prior, to the New 2025 Expiration Date (time being of the essence). Landlord, at its option, may render the Renewal Notice null and void upon notice thereof to Tenant if, at the time that Landlord receives the same, Tenant shall be in default under the Lease, as amended by this Amendment, beyond any applicable notice and/or cure period.</w:t>
      </w:r>
    </w:p>
    <w:p>
      <w:pPr>
        <w:spacing w:after="0" w:line="191" w:lineRule="exact"/>
        <w:rPr>
          <w:rFonts w:ascii="Times New Roman" w:cs="Times New Roman" w:eastAsia="Times New Roman" w:hAnsi="Times New Roman"/>
          <w:sz w:val="18"/>
          <w:szCs w:val="18"/>
          <w:color w:val="auto"/>
        </w:rPr>
      </w:pPr>
    </w:p>
    <w:p>
      <w:pPr>
        <w:jc w:val="both"/>
        <w:ind w:firstLine="8"/>
        <w:spacing w:after="0" w:line="254" w:lineRule="auto"/>
        <w:tabs>
          <w:tab w:leader="none" w:pos="18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exercises the Renewal Option in accordance with the terms set forth above, then the Lease, as amended by this Amendment, shall thereupon be extended for the Renewal Term upon all the same terms, covenants and conditions as are contained in the Lease, as amended by this Amendment, and applicable prior to the Renewal Term, except that for, and during, the Renewal Term: (1) the Fixed Basic Rent shall be initially set at the greater of (x) the Fixed Basic Rent in effect immediately prior to the commencement of the Renewal Term, or (y) the Renewal Term Fixed Basic Rent (as hereinafter defined) for the Renewal Term, as determined as hereinafter set forth; (2) the Expiration Date shall be the Renewal Expiration Date; (3) any provisions of the Lease, as amended by this Amendment, setting forth (i) workletter or other work obligations of Landlord, (ii) work allowances or contributions to be made by Landlord or (iii) abatements of rent, shall not apply; and (4) the provisions of Section 1 above relating to the exercise of any further Renewal Option shall not be applicable.</w:t>
      </w:r>
    </w:p>
    <w:p>
      <w:pPr>
        <w:spacing w:after="0" w:line="191" w:lineRule="exact"/>
        <w:rPr>
          <w:rFonts w:ascii="Times New Roman" w:cs="Times New Roman" w:eastAsia="Times New Roman" w:hAnsi="Times New Roman"/>
          <w:sz w:val="18"/>
          <w:szCs w:val="18"/>
          <w:color w:val="auto"/>
        </w:rPr>
      </w:pPr>
    </w:p>
    <w:p>
      <w:pPr>
        <w:ind w:firstLine="8"/>
        <w:spacing w:after="0" w:line="312" w:lineRule="auto"/>
        <w:tabs>
          <w:tab w:leader="none" w:pos="18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As used herein, the term “Renewal Term Fixed Basic Rent” for the Renewal Term shall mean a Fixed Basic Rent payable at a per annum rate equal to the product of (i) the Renewal Fair Market Fixed Basic Rent for such Renewal Term, multiplied by (ii) the number of rentable square feet in the Premises.</w:t>
      </w:r>
    </w:p>
    <w:p>
      <w:pPr>
        <w:spacing w:after="0" w:line="139" w:lineRule="exact"/>
        <w:rPr>
          <w:rFonts w:ascii="Times New Roman" w:cs="Times New Roman" w:eastAsia="Times New Roman" w:hAnsi="Times New Roman"/>
          <w:sz w:val="17"/>
          <w:szCs w:val="17"/>
          <w:color w:val="auto"/>
        </w:rPr>
      </w:pPr>
    </w:p>
    <w:p>
      <w:pPr>
        <w:jc w:val="both"/>
        <w:ind w:left="660" w:hanging="4"/>
        <w:spacing w:after="0" w:line="252" w:lineRule="auto"/>
        <w:tabs>
          <w:tab w:leader="none" w:pos="91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 “Renewal Fair Market Fixed Basic Rent” for the Renewal Term shall mean the Fixed Basic Rent, per rentable square foot per annum, that a willing tenant (of Tenant’s financial strength and operational history) would pay and a willing landlord would accept for a hypothetical renewal lease of the Premises having a 2-year term (commencing with the commencement of the Renewal Term), and providing for fixed annual rent throughout such term on either, at Landlord’s option, a level payment basis or with periodic step-ups in Fixed Basic Rent, assuming: (i) that the Premises were being demised by such hypothetical renewal lease in their “as is” condition as of the date that Tenant exercised the Renewal Option; (ii) that the terms of such hypothetical renewal lease would (x) include a work allowance or contribution to be paid by such willing landlord to such willing tenant in an amount equal to the amount, if any, that Landlord in its Initial Renewal Rent Notice (as hereinafter defined) has indicated it is willing to provide to Tenant (but Landlord shall not be obligated to offer to provide any such work allowance or contribution), (y) include a free rent period during which such willing tenant would not pay any Fixed Basic Rent having a duration equal to the free rent period, if any, that Landlord in its Initial Renewal Rent Notice has indicated it is willing to provide to Tenant (but Landlord shall not be obligated to offer to provide any such free rent period), and (z) otherwise be the same terms and conditions as are provided for in the Lease, as amended by this Amendment, for the Renewal Term; and (iii) that such willing landlord would be paying a brokerage commission in respect of such hypothetical renewal lease equal to the brokerage commission, if any, payable by Landlord to any broker to whom a commission may be owing in connection with the Renewal Term.</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8" w:name="page109"/>
    <w:bookmarkEnd w:id="108"/>
    <w:p>
      <w:pPr>
        <w:jc w:val="both"/>
        <w:ind w:left="4" w:hanging="4"/>
        <w:spacing w:after="0" w:line="252" w:lineRule="auto"/>
        <w:tabs>
          <w:tab w:leader="none" w:pos="27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thirty (30) day period (the “Renewal Initial Period”) following Tenant’s exercise of the Renewal Option (i.e., after Landlord’s receipt of the Renewal Notice), Landlord and Tenant shall attempt to agree upon the Renewal Term Fixed Basic Rent for the Renewal Term (including any concessions to be provided in connection therewith), and prior to the expiration of the Renewal Initial Period Landlord shall give Tenant written notice (the “Initial Renewal Rent Notice”) containing (i) Landlord’s determination of the Renewal Term Fixed Basic Rent for the Renewal Term, including Landlord determination of the Renewal Fair Market Fixed Basic Rent (“Landlord’s Renewal Rent Determination”), (ii) the amount of any work allowance or contribution that Landlord is willing to provide to Tenant (but Landlord shall not be obligated to offer to provide any such work allowance or contribution), and (iii) the duration of any free rent period that Landlord is willing to provide to Tenant (but Landlord shall not be obligated to offer to provide any such free rent period). If Landlord and Tenant fail to agree upon the Renewal Term Fixed Basic Rent for the Renewal Term within the Renewal Initial Period, then Tenant may, by written notice (a “Renewal Appraisal Notice”) received by Landlord before the expiration of thirty (30) days after the expiration of the Renewal Initial Period, elect to have the Renewal Term Fixed Basic Rent for the Renewal Term determined by appraisal in accordance with the provisions set forth in Section 6 of this Exhibit A. If Landlord does not receive a Renewal Appraisal Notice from Tenant before the expiration of such thirty (30) day period, Tenant and Landlord shall be conclusively deemed to have agreed to Landlord’s Renewal Rent Determination, and the Renewal Term Fixed Basic Rent for the Renewal Term shall equal Landlord’s Renewal Rent Determination.</w:t>
      </w:r>
    </w:p>
    <w:p>
      <w:pPr>
        <w:spacing w:after="0" w:line="197"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6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the first day of the Renewal Term, the Renewal Term Fixed Basic Rent shall not have been finally determined, then (i) for the period from the commencement of the Renewal Term until the date that the Renewal Term Fixed Basic Rent is finally determined (herein called the “Renewal Pre-Determination Period”), Tenant shall make payments, on account of the Renewal Term Fixed Basic Rent for the Renewal Term (as and when Fixed Basic Rent is payable under the Lease, as amended by this Amendment), in an amount equal to the Fixed Basic Rent in effect immediately prior to the commencement of the Renewal Term, and (ii) if, upon the final determination of the Renewal Term Fixed Basic Rent for the Renewal Term, the payments made by Tenant on account of the Renewal Term Fixed Basic Rent for the Renewal Term during the Renewal Pre-Determination Period were different than the Renewal Term Fixed Basic Rent for the Renewal Term, then (A) Tenant shall pay to Landlord the amount of any deficiency within thirty (30) days after demand therefor, or (B) Landlord shall credit to Tenant the amount of any overpayment against the next rent thereafter due. Tenant shall be provided the work allowance, if any, and free rent period, if any, set forth in the Initial Renewal Rent Notice. Any such free rent period shall commence on the first (1st) day of the Renewal Term. Any such work allowance shall be paid to Tenant on account of alterations and improvements performed by Tenant in the Premises</w:t>
      </w:r>
    </w:p>
    <w:p>
      <w:pPr>
        <w:spacing w:after="0" w:line="192"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10.40</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EQUINITI TRUST COMPANY, LLC, as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 Agent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 Agency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WARRANT AGENCY AGREEMENT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WARRANT AGENCY AGREEMENT, dated as of [●], 2026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between Imunon, Inc., a corporation organized under the laws of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Equiniti Trust Company, LLC (the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7"/>
          <w:szCs w:val="17"/>
          <w:color w:val="auto"/>
        </w:rPr>
        <w:t>WHEREAS, pursuant to a registered offering by the Company of [ ● ] Units (the “</w:t>
      </w:r>
      <w:r>
        <w:rPr>
          <w:rFonts w:ascii="Times New Roman" w:cs="Times New Roman" w:eastAsia="Times New Roman" w:hAnsi="Times New Roman"/>
          <w:sz w:val="17"/>
          <w:szCs w:val="17"/>
          <w:u w:val="single" w:color="auto"/>
          <w:color w:val="auto"/>
        </w:rPr>
        <w:t>Offering</w:t>
      </w:r>
      <w:r>
        <w:rPr>
          <w:rFonts w:ascii="Times New Roman" w:cs="Times New Roman" w:eastAsia="Times New Roman" w:hAnsi="Times New Roman"/>
          <w:sz w:val="17"/>
          <w:szCs w:val="17"/>
          <w:color w:val="auto"/>
        </w:rPr>
        <w:t>”), with each Unit consisting of (i) one share of the Company’s common stock, par value $0.01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or one pre-funded warrant to purchase one share of Common Stock in lieu thereof, (ii) one Tranche A common warrant to purchase one half of one share of Common Stock (the “</w:t>
      </w:r>
      <w:r>
        <w:rPr>
          <w:rFonts w:ascii="Times New Roman" w:cs="Times New Roman" w:eastAsia="Times New Roman" w:hAnsi="Times New Roman"/>
          <w:sz w:val="17"/>
          <w:szCs w:val="17"/>
          <w:u w:val="single" w:color="auto"/>
          <w:color w:val="auto"/>
        </w:rPr>
        <w:t>Tranche A Warrants</w:t>
      </w:r>
      <w:r>
        <w:rPr>
          <w:rFonts w:ascii="Times New Roman" w:cs="Times New Roman" w:eastAsia="Times New Roman" w:hAnsi="Times New Roman"/>
          <w:sz w:val="17"/>
          <w:szCs w:val="17"/>
          <w:color w:val="auto"/>
        </w:rPr>
        <w:t>”), (iii) one Tranche B common warrant to purchase one share of Common Stock (the “</w:t>
      </w:r>
      <w:r>
        <w:rPr>
          <w:rFonts w:ascii="Times New Roman" w:cs="Times New Roman" w:eastAsia="Times New Roman" w:hAnsi="Times New Roman"/>
          <w:sz w:val="17"/>
          <w:szCs w:val="17"/>
          <w:u w:val="single" w:color="auto"/>
          <w:color w:val="auto"/>
        </w:rPr>
        <w:t>Tranche B Warrants</w:t>
      </w:r>
      <w:r>
        <w:rPr>
          <w:rFonts w:ascii="Times New Roman" w:cs="Times New Roman" w:eastAsia="Times New Roman" w:hAnsi="Times New Roman"/>
          <w:sz w:val="17"/>
          <w:szCs w:val="17"/>
          <w:color w:val="auto"/>
        </w:rPr>
        <w:t>”), (iv) one Tranche C common warrant to purchase one share of Common Stock (the “</w:t>
      </w:r>
      <w:r>
        <w:rPr>
          <w:rFonts w:ascii="Times New Roman" w:cs="Times New Roman" w:eastAsia="Times New Roman" w:hAnsi="Times New Roman"/>
          <w:sz w:val="17"/>
          <w:szCs w:val="17"/>
          <w:u w:val="single" w:color="auto"/>
          <w:color w:val="auto"/>
        </w:rPr>
        <w:t>Tranche C Warrants</w:t>
      </w:r>
      <w:r>
        <w:rPr>
          <w:rFonts w:ascii="Times New Roman" w:cs="Times New Roman" w:eastAsia="Times New Roman" w:hAnsi="Times New Roman"/>
          <w:sz w:val="17"/>
          <w:szCs w:val="17"/>
          <w:color w:val="auto"/>
        </w:rPr>
        <w:t>”) and (v) one Tranche D common warrant to purchase one share of Common Stock (the “</w:t>
      </w:r>
      <w:r>
        <w:rPr>
          <w:rFonts w:ascii="Times New Roman" w:cs="Times New Roman" w:eastAsia="Times New Roman" w:hAnsi="Times New Roman"/>
          <w:sz w:val="17"/>
          <w:szCs w:val="17"/>
          <w:u w:val="single" w:color="auto"/>
          <w:color w:val="auto"/>
        </w:rPr>
        <w:t>Tranche D Warrants</w:t>
      </w:r>
      <w:r>
        <w:rPr>
          <w:rFonts w:ascii="Times New Roman" w:cs="Times New Roman" w:eastAsia="Times New Roman" w:hAnsi="Times New Roman"/>
          <w:sz w:val="17"/>
          <w:szCs w:val="17"/>
          <w:color w:val="auto"/>
        </w:rPr>
        <w:t>” and, together with the Tranche A Warrants, the Tranche B Warrants and the Tranche C Warrants, the “</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(the shares of Common Stock issuable upon exercise of the Warrants, the “</w:t>
      </w:r>
      <w:r>
        <w:rPr>
          <w:rFonts w:ascii="Times New Roman" w:cs="Times New Roman" w:eastAsia="Times New Roman" w:hAnsi="Times New Roman"/>
          <w:sz w:val="17"/>
          <w:szCs w:val="17"/>
          <w:u w:val="single" w:color="auto"/>
          <w:color w:val="auto"/>
        </w:rPr>
        <w:t>Warrant Shares</w:t>
      </w:r>
      <w:r>
        <w:rPr>
          <w:rFonts w:ascii="Times New Roman" w:cs="Times New Roman" w:eastAsia="Times New Roman" w:hAnsi="Times New Roman"/>
          <w:sz w:val="17"/>
          <w:szCs w:val="17"/>
          <w:color w:val="auto"/>
        </w:rPr>
        <w:t>”), at the exercise price applicable to each tranche of Warrants as set forth in the applicable Warrant Certificate; and</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WHEREAS, upon the terms and subject to the conditions hereinafter set forth and pursuant to an effective registration statement on Form S-1, as amended (File No. 333-[●])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the terms and conditions of the Warrant Certificates, the Company wishes to issue the Warrants in book entry form entitling the respective holders of the Warrants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which term shall include a Holder’s transferees, successors and assigns and “Holder” shall include, if the Warrants are held in “street name,” a Participant (as defined below) or a designee appointed by such Participant); and</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WHEREAS, the shares of Common Stock and Warrants to be issued in connection with the Offering shall be immediately separable and will be issued separately, but will be purchased together in the Offering; and</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WHEREAS, the Company wishes the Warrant Agent to act on behalf of the Company, and the Warrant Agent is willing so to act, in connection with the issuance, registration, transfer, exchange, exercise and replacement of the Warrants and, in the Warrant Agent’s capacity as the Company’s transfer agent, the delivery of the Warrant Shares (as defined below).</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agreements herein set forth, the parties hereby agree as follows: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all capitalized terms not herein defined shall have the meanings hereby indicated: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has the meaning ascribed to it in Rule 12b-2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0" w:name="page111"/>
    <w:bookmarkEnd w:id="110"/>
    <w:p>
      <w:pPr>
        <w:ind w:right="20" w:firstLine="656"/>
        <w:spacing w:after="0" w:line="282" w:lineRule="auto"/>
        <w:tabs>
          <w:tab w:leader="none" w:pos="90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Close of Business</w:t>
      </w:r>
      <w:r>
        <w:rPr>
          <w:rFonts w:ascii="Times New Roman" w:cs="Times New Roman" w:eastAsia="Times New Roman" w:hAnsi="Times New Roman"/>
          <w:sz w:val="18"/>
          <w:szCs w:val="18"/>
          <w:color w:val="auto"/>
        </w:rPr>
        <w:t xml:space="preserve">” on any given date means 5:00 p.m., New York City time,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date is not a Business Day it means 5:00 p.m., New York City time, on the next succeeding Business Day.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association, partnership, limited liability company, joint venture, trust, unincorporated organization, government or political subdivision thereof or governmental agency or other entity.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9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Warrant Certificate</w:t>
      </w:r>
      <w:r>
        <w:rPr>
          <w:rFonts w:ascii="Times New Roman" w:cs="Times New Roman" w:eastAsia="Times New Roman" w:hAnsi="Times New Roman"/>
          <w:sz w:val="18"/>
          <w:szCs w:val="18"/>
          <w:color w:val="auto"/>
        </w:rPr>
        <w:t xml:space="preserve">” means the certificate in the form attached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hereto, representing such number of Warrant Shares as indicated therein, provided that any reference to the delivery of a Warrant Certificate in this Agreement shall include delivery of a Definitive Certificate or a Global Warrant (each as defined below).</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 Warrant Certificate</w:t>
      </w:r>
      <w:r>
        <w:rPr>
          <w:rFonts w:ascii="Times New Roman" w:cs="Times New Roman" w:eastAsia="Times New Roman" w:hAnsi="Times New Roman"/>
          <w:sz w:val="18"/>
          <w:szCs w:val="18"/>
          <w:color w:val="auto"/>
        </w:rPr>
        <w:t xml:space="preserve">” means the certificate in the form attached as </w:t>
      </w:r>
      <w:r>
        <w:rPr>
          <w:rFonts w:ascii="Times New Roman" w:cs="Times New Roman" w:eastAsia="Times New Roman" w:hAnsi="Times New Roman"/>
          <w:sz w:val="18"/>
          <w:szCs w:val="18"/>
          <w:u w:val="single" w:color="auto"/>
          <w:color w:val="auto"/>
        </w:rPr>
        <w:t>Exhibit 2</w:t>
      </w:r>
      <w:r>
        <w:rPr>
          <w:rFonts w:ascii="Times New Roman" w:cs="Times New Roman" w:eastAsia="Times New Roman" w:hAnsi="Times New Roman"/>
          <w:sz w:val="18"/>
          <w:szCs w:val="18"/>
          <w:color w:val="auto"/>
        </w:rPr>
        <w:t xml:space="preserve"> hereto, representing such number of Warrant Shares as indicated therein, provided that any reference to the delivery of a Warrant Certificate in this Agreement shall include delivery of a Definitive Certificate or a Global Warrant (each as defined below).</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C Warrant Certificate</w:t>
      </w:r>
      <w:r>
        <w:rPr>
          <w:rFonts w:ascii="Times New Roman" w:cs="Times New Roman" w:eastAsia="Times New Roman" w:hAnsi="Times New Roman"/>
          <w:sz w:val="18"/>
          <w:szCs w:val="18"/>
          <w:color w:val="auto"/>
        </w:rPr>
        <w:t xml:space="preserve">” means the certificate in the form attached as </w:t>
      </w:r>
      <w:r>
        <w:rPr>
          <w:rFonts w:ascii="Times New Roman" w:cs="Times New Roman" w:eastAsia="Times New Roman" w:hAnsi="Times New Roman"/>
          <w:sz w:val="18"/>
          <w:szCs w:val="18"/>
          <w:u w:val="single" w:color="auto"/>
          <w:color w:val="auto"/>
        </w:rPr>
        <w:t>Exhibit 3</w:t>
      </w:r>
      <w:r>
        <w:rPr>
          <w:rFonts w:ascii="Times New Roman" w:cs="Times New Roman" w:eastAsia="Times New Roman" w:hAnsi="Times New Roman"/>
          <w:sz w:val="18"/>
          <w:szCs w:val="18"/>
          <w:color w:val="auto"/>
        </w:rPr>
        <w:t xml:space="preserve"> hereto, representing such number of Warrant Shares as indicated therein, provided that any reference to the delivery of a Warrant Certificate in this Agreement shall include delivery of a Definitive Certificate or a Global Warrant (each as defined below).</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D Warrant Certificate</w:t>
      </w:r>
      <w:r>
        <w:rPr>
          <w:rFonts w:ascii="Times New Roman" w:cs="Times New Roman" w:eastAsia="Times New Roman" w:hAnsi="Times New Roman"/>
          <w:sz w:val="18"/>
          <w:szCs w:val="18"/>
          <w:color w:val="auto"/>
        </w:rPr>
        <w:t xml:space="preserve">” means the certificate in the form attached as </w:t>
      </w:r>
      <w:r>
        <w:rPr>
          <w:rFonts w:ascii="Times New Roman" w:cs="Times New Roman" w:eastAsia="Times New Roman" w:hAnsi="Times New Roman"/>
          <w:sz w:val="18"/>
          <w:szCs w:val="18"/>
          <w:u w:val="single" w:color="auto"/>
          <w:color w:val="auto"/>
        </w:rPr>
        <w:t>Exhibit 4</w:t>
      </w:r>
      <w:r>
        <w:rPr>
          <w:rFonts w:ascii="Times New Roman" w:cs="Times New Roman" w:eastAsia="Times New Roman" w:hAnsi="Times New Roman"/>
          <w:sz w:val="18"/>
          <w:szCs w:val="18"/>
          <w:color w:val="auto"/>
        </w:rPr>
        <w:t xml:space="preserve"> hereto, representing such number of Warrant Shares as indicated therein, provided that any reference to the delivery of a Warrant Certificate in this Agreement shall include delivery of a Definitive Certificate or a Global Warrant (each as defined below).</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6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Certificates</w:t>
      </w:r>
      <w:r>
        <w:rPr>
          <w:rFonts w:ascii="Times New Roman" w:cs="Times New Roman" w:eastAsia="Times New Roman" w:hAnsi="Times New Roman"/>
          <w:sz w:val="18"/>
          <w:szCs w:val="18"/>
          <w:color w:val="auto"/>
        </w:rPr>
        <w:t>” means the Tranche A Warrant Certificate, Tranche B Warrant Certificate, Tranche C Warrant Certificate and the Tranche D Warrant Certificate.</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All other capitalized terms used but not otherwise defined herein shall have the meaning ascribed to such terms in the applicable Warrant Certificate (including any defined terms set forth in the Purchase Agreement (as defined in the Warrant Certificates)).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Appointment of Warrant Agent</w:t>
      </w:r>
      <w:r>
        <w:rPr>
          <w:rFonts w:ascii="Times New Roman" w:cs="Times New Roman" w:eastAsia="Times New Roman" w:hAnsi="Times New Roman"/>
          <w:sz w:val="18"/>
          <w:szCs w:val="18"/>
          <w:color w:val="auto"/>
        </w:rPr>
        <w:t>. The Company hereby appoints the Warrant Agent to act as agent for the Company in accordance with the terms and conditions hereof, and the Warrant Agent hereby accepts such appointment.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Global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90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shall be registered securities and each tranche of Warrants shall be evidenced by a global warrant with respect to the Warrants (the “</w:t>
      </w:r>
      <w:r>
        <w:rPr>
          <w:rFonts w:ascii="Times New Roman" w:cs="Times New Roman" w:eastAsia="Times New Roman" w:hAnsi="Times New Roman"/>
          <w:sz w:val="18"/>
          <w:szCs w:val="18"/>
          <w:u w:val="single" w:color="auto"/>
          <w:color w:val="auto"/>
        </w:rPr>
        <w:t>Global Warrants</w:t>
      </w:r>
      <w:r>
        <w:rPr>
          <w:rFonts w:ascii="Times New Roman" w:cs="Times New Roman" w:eastAsia="Times New Roman" w:hAnsi="Times New Roman"/>
          <w:sz w:val="18"/>
          <w:szCs w:val="18"/>
          <w:color w:val="auto"/>
        </w:rPr>
        <w:t>”), in the form of the applicable Warrant Certificate, which shall be deposited with the Warrant Agent and registered in the name of Cede &amp; Co., a nominee of The Depository Trust Company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or as otherwise directed by the Depositary. Ownership of beneficial interests in the Warrants shall be shown on, and the transfer of such ownership shall be effected through, records maintained by (i) the Depositary or its nominee for each Global Warrant or (ii) institutions that have accounts with the Depositary (such institution, with respect to a Warrant in its account,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2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subsequently ceases to make its book-entry settlement system available for the Warrants, the Company may instruct the Warrant Agent regarding other arrangements for book-entry settlement. In the event that the Warrants are not eligible for, or it is no longer necessary to have the Warrants available in, book-entry form, the Warrant Agent shall provide written instructions to the Depositary to deliver to the Warrant Agent for cancellation each Global Warrant, and the Company shall instruct the Warrant Agent to deliver to each Holder a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1" w:name="page112"/>
    <w:bookmarkEnd w:id="111"/>
    <w:p>
      <w:pPr>
        <w:jc w:val="both"/>
        <w:ind w:left="-656" w:firstLine="656"/>
        <w:spacing w:after="0" w:line="251" w:lineRule="auto"/>
        <w:tabs>
          <w:tab w:leader="none" w:pos="24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Holder has the right to elect at any time or from time to time a Warrant Exchange (as defined below) pursuant to a Warrant Certificate Request Notice (as defined below). Upon written notice by a Holder to the Company and the Warrant Agent for the exchange of some or all of such Holder’s Global Warrants for a separate certificate in the form attached hereto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4</w:t>
      </w:r>
      <w:r>
        <w:rPr>
          <w:rFonts w:ascii="Times New Roman" w:cs="Times New Roman" w:eastAsia="Times New Roman" w:hAnsi="Times New Roman"/>
          <w:sz w:val="18"/>
          <w:szCs w:val="18"/>
          <w:color w:val="auto"/>
        </w:rPr>
        <w:t>, as applicable (such separate certificate, a “</w:t>
      </w:r>
      <w:r>
        <w:rPr>
          <w:rFonts w:ascii="Times New Roman" w:cs="Times New Roman" w:eastAsia="Times New Roman" w:hAnsi="Times New Roman"/>
          <w:sz w:val="18"/>
          <w:szCs w:val="18"/>
          <w:u w:val="single" w:color="auto"/>
          <w:color w:val="auto"/>
        </w:rPr>
        <w:t>Definitive Certificate</w:t>
      </w:r>
      <w:r>
        <w:rPr>
          <w:rFonts w:ascii="Times New Roman" w:cs="Times New Roman" w:eastAsia="Times New Roman" w:hAnsi="Times New Roman"/>
          <w:sz w:val="18"/>
          <w:szCs w:val="18"/>
          <w:color w:val="auto"/>
        </w:rPr>
        <w:t xml:space="preserve">”) evidencing the same number of Warrants, which request shall be in the form attached hereto as </w:t>
      </w:r>
      <w:r>
        <w:rPr>
          <w:rFonts w:ascii="Times New Roman" w:cs="Times New Roman" w:eastAsia="Times New Roman" w:hAnsi="Times New Roman"/>
          <w:sz w:val="18"/>
          <w:szCs w:val="18"/>
          <w:u w:val="single" w:color="auto"/>
          <w:color w:val="auto"/>
        </w:rPr>
        <w:t>Exhibit 5</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 Request Notice</w:t>
      </w:r>
      <w:r>
        <w:rPr>
          <w:rFonts w:ascii="Times New Roman" w:cs="Times New Roman" w:eastAsia="Times New Roman" w:hAnsi="Times New Roman"/>
          <w:sz w:val="18"/>
          <w:szCs w:val="18"/>
          <w:color w:val="auto"/>
        </w:rPr>
        <w:t>” and the date of delivery of such Warrant Certificate Request Notice by the Holder, the “</w:t>
      </w:r>
      <w:r>
        <w:rPr>
          <w:rFonts w:ascii="Times New Roman" w:cs="Times New Roman" w:eastAsia="Times New Roman" w:hAnsi="Times New Roman"/>
          <w:sz w:val="18"/>
          <w:szCs w:val="18"/>
          <w:u w:val="single" w:color="auto"/>
          <w:color w:val="auto"/>
        </w:rPr>
        <w:t>Warrant Certificate Request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and the surrender by the Holder to the Warrant Agent of a number of Global Warrants for the same number of Warrants evidenced by a Warrant Certificate, a “</w:t>
      </w:r>
      <w:r>
        <w:rPr>
          <w:rFonts w:ascii="Times New Roman" w:cs="Times New Roman" w:eastAsia="Times New Roman" w:hAnsi="Times New Roman"/>
          <w:sz w:val="18"/>
          <w:szCs w:val="18"/>
          <w:u w:val="single" w:color="auto"/>
          <w:color w:val="auto"/>
        </w:rPr>
        <w:t>Warrant Exchange</w:t>
      </w:r>
      <w:r>
        <w:rPr>
          <w:rFonts w:ascii="Times New Roman" w:cs="Times New Roman" w:eastAsia="Times New Roman" w:hAnsi="Times New Roman"/>
          <w:sz w:val="18"/>
          <w:szCs w:val="18"/>
          <w:color w:val="auto"/>
        </w:rPr>
        <w:t xml:space="preserve">”), the Company and the Warrant Agent shall promptly effect the Warrant Exchange and the Company and the Warrant Agent shall promptly issue and deliver to the Holder a Definitive Certificate for such number of Warrants in the name set forth in the Warrant Certificate Request Notice. Such Definitive Certificate shall be dated the original issue date of the Warrants, shall be executed by facsimile by an authorized signatory of the Company, shall be in the form attached hereto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4</w:t>
      </w:r>
      <w:r>
        <w:rPr>
          <w:rFonts w:ascii="Times New Roman" w:cs="Times New Roman" w:eastAsia="Times New Roman" w:hAnsi="Times New Roman"/>
          <w:sz w:val="18"/>
          <w:szCs w:val="18"/>
          <w:color w:val="auto"/>
        </w:rPr>
        <w:t>, as applicable, and shall be reasonably acceptable in all respects to such Holder. In connection with a Warrant Exchange, the Company agrees to deliver the Definitive Certificate to the Holder within three (3) Business Days of the Warrant Certificate Request Notice pursuant to the delivery instructions in the Warrant Certificate Request Notice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 Delivery Date</w:t>
      </w:r>
      <w:r>
        <w:rPr>
          <w:rFonts w:ascii="Times New Roman" w:cs="Times New Roman" w:eastAsia="Times New Roman" w:hAnsi="Times New Roman"/>
          <w:sz w:val="18"/>
          <w:szCs w:val="18"/>
          <w:color w:val="auto"/>
        </w:rPr>
        <w:t>”). If the Company and the Warrant Agent fail for any reason to deliver to the Holder the Definitive Certificate subject to the Warrant Certificate Request Notice by the Warrant Certificate Delivery Date, the Company shall pay to the Holder, in cash, as liquidated damages and not as a penalty, for each $1,000 of Warrant Shares evidenced by such Definitive Certificate (based on the VWAP (as defined in the Warrants) of the Common Stock on the Warrant Certificate Request Notice Date), $10 per Business Day for each Business Day after such Warrant Certificate Delivery Date until such Definitive Certificate is delivered or, prior to delivery of such Warrant Certificate, the Holder rescinds such Warrant Exchange. The Company covenants and agrees that, upon the date of delivery of the Warrant Certificate Request Notice, the Holder shall be deemed to be the holder of the Definitive Certificate and, notwithstanding anything to the contrary set forth herein, the Definitive Certificate shall be deemed for all purposes to contain all of the terms and conditions of the Warrants evidenced by such Warrant Certificate and the terms of this Agreement, other than Sections 3(c), 3(d) and 9 herein, shall not apply to the Warrants evidenced by the Definitive Certificate. Notwithstanding anything herein to the contrary, the Warrant Agent shall act as warrant agent with respect to any Definitive Certificate requested and issued pursuant to this section. Notwithstanding anything to the contrary contained in this Agreement, in the event of inconsistency between any provision in this Agreement and any provision in a Definitive Certificate, as it may from time to time be amended, the terms of such Definitive Certificate shall control.</w:t>
      </w:r>
    </w:p>
    <w:p>
      <w:pPr>
        <w:spacing w:after="0" w:line="204" w:lineRule="exact"/>
        <w:rPr>
          <w:rFonts w:ascii="Times New Roman" w:cs="Times New Roman" w:eastAsia="Times New Roman" w:hAnsi="Times New Roman"/>
          <w:sz w:val="18"/>
          <w:szCs w:val="18"/>
          <w:color w:val="auto"/>
        </w:rPr>
      </w:pPr>
    </w:p>
    <w:p>
      <w:pPr>
        <w:jc w:val="both"/>
        <w:ind w:left="-656" w:firstLine="656"/>
        <w:spacing w:after="0" w:line="252" w:lineRule="auto"/>
        <w:tabs>
          <w:tab w:leader="none" w:pos="25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Holder of a Definitive Certificate (pursuant to a Warrant Exchange or otherwise) has the right to elect at any time or from time to time a Global Warrants Exchange (as defined below) pursuant to a Global Warrants Request Notice (as defined below). Upon written notice by a Holder to the Company and the Warrant Agent for the exchange of some or all of such Holder’s Warrants evidenced by a Definitive Certificate for a beneficial interest in Global Warrants held in book-entry form through the Depositary evidencing the same number of Warrants, which request shall be in the form attached hereto as </w:t>
      </w:r>
      <w:r>
        <w:rPr>
          <w:rFonts w:ascii="Times New Roman" w:cs="Times New Roman" w:eastAsia="Times New Roman" w:hAnsi="Times New Roman"/>
          <w:sz w:val="18"/>
          <w:szCs w:val="18"/>
          <w:u w:val="single" w:color="auto"/>
          <w:color w:val="auto"/>
        </w:rPr>
        <w:t>Exhibit 6</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Global Warrants Request Notice</w:t>
      </w:r>
      <w:r>
        <w:rPr>
          <w:rFonts w:ascii="Times New Roman" w:cs="Times New Roman" w:eastAsia="Times New Roman" w:hAnsi="Times New Roman"/>
          <w:sz w:val="18"/>
          <w:szCs w:val="18"/>
          <w:color w:val="auto"/>
        </w:rPr>
        <w:t>” and the date of delivery of such Global Warrants Request Notice by the Holder, the “</w:t>
      </w:r>
      <w:r>
        <w:rPr>
          <w:rFonts w:ascii="Times New Roman" w:cs="Times New Roman" w:eastAsia="Times New Roman" w:hAnsi="Times New Roman"/>
          <w:sz w:val="18"/>
          <w:szCs w:val="18"/>
          <w:u w:val="single" w:color="auto"/>
          <w:color w:val="auto"/>
        </w:rPr>
        <w:t>Global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Warrants Request Notice Date</w:t>
      </w:r>
      <w:r>
        <w:rPr>
          <w:rFonts w:ascii="Times New Roman" w:cs="Times New Roman" w:eastAsia="Times New Roman" w:hAnsi="Times New Roman"/>
          <w:sz w:val="18"/>
          <w:szCs w:val="18"/>
          <w:color w:val="auto"/>
        </w:rPr>
        <w:t>” and the surrender upon delivery by the Holder of the Warrants evidenced by Definitive Certificates for the same number of Warrants evidenced by a beneficial interest in Global Warrants held in book-entry form through the Depositary, a “</w:t>
      </w:r>
      <w:r>
        <w:rPr>
          <w:rFonts w:ascii="Times New Roman" w:cs="Times New Roman" w:eastAsia="Times New Roman" w:hAnsi="Times New Roman"/>
          <w:sz w:val="18"/>
          <w:szCs w:val="18"/>
          <w:u w:val="single" w:color="auto"/>
          <w:color w:val="auto"/>
        </w:rPr>
        <w:t>Global Warrants Exchange</w:t>
      </w:r>
      <w:r>
        <w:rPr>
          <w:rFonts w:ascii="Times New Roman" w:cs="Times New Roman" w:eastAsia="Times New Roman" w:hAnsi="Times New Roman"/>
          <w:sz w:val="18"/>
          <w:szCs w:val="18"/>
          <w:color w:val="auto"/>
        </w:rPr>
        <w:t>”), the Warrant Agent shall promptly effect the Global Warrants Exchange and shall promptly issue and deliver to the Holder Global Warrants for such number of Warrants in the Global Warrants Request Notice, which beneficial interest in such Global Warrants shall be delivered by the Depositary’s Deposit or Withdrawal at Custodian system to the Holder pursuant to the instructions in the Global Warrants Request Notice. In connection with a Global Warrants Exchange, the Warrant Agent shall deliver the beneficial interest in such Global Warrants to the Holder within three (3) Business Days of the Global Warrants Request Notice pursuant to the delivery instructions in the Global Warrant Request Notice (“</w:t>
      </w:r>
      <w:r>
        <w:rPr>
          <w:rFonts w:ascii="Times New Roman" w:cs="Times New Roman" w:eastAsia="Times New Roman" w:hAnsi="Times New Roman"/>
          <w:sz w:val="18"/>
          <w:szCs w:val="18"/>
          <w:u w:val="single" w:color="auto"/>
          <w:color w:val="auto"/>
        </w:rPr>
        <w:t>Global Warrants Delivery Date</w:t>
      </w:r>
      <w:r>
        <w:rPr>
          <w:rFonts w:ascii="Times New Roman" w:cs="Times New Roman" w:eastAsia="Times New Roman" w:hAnsi="Times New Roman"/>
          <w:sz w:val="18"/>
          <w:szCs w:val="18"/>
          <w:color w:val="auto"/>
        </w:rPr>
        <w:t>”). If the Company fails for any reason to deliver to the Holder Global Warrants subject to the Global Warrants Request Notice by the Global Warrants Delivery Date, the Company shall pay to the Holder, in cash, as liquidated damages and not as a penalty, for each $1,000 of Warrant Shares evidenced by such Global Warrants (based on the VWAP (as defined in the Warrants) of the Common Stock on the Global Warrants Request Notice Date), $10 per Business Day for each Business Day after such Global Warrants Delivery Date until such Global Warrants are delivered or, prior to delivery of such Global Warrants, the Holder rescinds such Global Warrants Exchange. The Company covenants and agrees that, upon the date of delivery of the Global Warrants Request Notice, the Holder shall be deemed to be the beneficial holder of such Global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270510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12" w:name="page113"/>
    <w:bookmarkEnd w:id="112"/>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Form of Warrant Certificates</w:t>
      </w:r>
      <w:r>
        <w:rPr>
          <w:rFonts w:ascii="Times New Roman" w:cs="Times New Roman" w:eastAsia="Times New Roman" w:hAnsi="Times New Roman"/>
          <w:sz w:val="18"/>
          <w:szCs w:val="18"/>
          <w:color w:val="auto"/>
        </w:rPr>
        <w:t>. The Warrant Certificates, together with the form of election to purchase Common Stock (“</w:t>
      </w:r>
      <w:r>
        <w:rPr>
          <w:rFonts w:ascii="Times New Roman" w:cs="Times New Roman" w:eastAsia="Times New Roman" w:hAnsi="Times New Roman"/>
          <w:sz w:val="18"/>
          <w:szCs w:val="18"/>
          <w:u w:val="single" w:color="auto"/>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xml:space="preserve">”) and the form of assignment to be printed on the reverse thereof, shall be in the form of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4</w:t>
      </w:r>
      <w:r>
        <w:rPr>
          <w:rFonts w:ascii="Times New Roman" w:cs="Times New Roman" w:eastAsia="Times New Roman" w:hAnsi="Times New Roman"/>
          <w:sz w:val="18"/>
          <w:szCs w:val="18"/>
          <w:color w:val="auto"/>
        </w:rPr>
        <w:t>, as applicable, hereto.</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Countersignature and Registration</w:t>
      </w:r>
      <w:r>
        <w:rPr>
          <w:rFonts w:ascii="Times New Roman" w:cs="Times New Roman" w:eastAsia="Times New Roman" w:hAnsi="Times New Roman"/>
          <w:sz w:val="18"/>
          <w:szCs w:val="18"/>
          <w:color w:val="auto"/>
        </w:rPr>
        <w:t>. The Global Warrants shall be executed on behalf of the Company by its Chief Executive Officer or Chief Financial Officer, by facsimile signature, and have affixed thereto the Company’s seal or a facsimile thereof (in each case only if the Company has a seal) which shall be attested by the Secretary or an Assistant Secretary of the Company, by facsimile signature. The Global Warrants shall be countersigned by the Warrant Agent by facsimile signature and shall not be valid for any purpose unless so countersigned. In case any officer of the Company who shall have signed any of the Global Warrants shall cease to be such officer of the Company before countersignature by the Warrant Agent and issuance and delivery by the Company, such Global Warrant, nevertheless, may be countersigned by the Warrant Agent, issued and delivered with the same force and effect as though the person who signed such Global Warrants had not ceased to be such officer of the Company; and any Global Warrant may be signed on behalf of the Company by any person who, at the actual date of the execution of such Global Warrant, shall be a proper officer of the Company to sign such Global Warrants, although at the date of the execution of this Warrant Agreement any such person was not such an officer.</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Warrant Agent will keep or cause to be kept, at one of its offices, or at the office of one of its agents, books for registration and transfer of the Global Warrants issued hereunder. Such books shall show the names and addresses of the respective Holders of each Global Warrant, the number of warrants evidenced on the face of each of such Global Warrant and the date of each of such Global Warrant. The Warrant Agent will create a special account for the issuance of Global Warrants. The Warrant Agent will keep or cause to be kept at one of its offices, books for the registration and transfer of any Definitive Certificates issued hereunder. Such Warrant Agent books shall show the names and addresses of the respective Holders of the Definitive Certificates, the number of warrants evidenced on the face of each such Definitive Certificate and the date of each such Definitive Certificate.</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Transfer, Split Up, Combination and Exchange of Warrant Certificates; Mutilated, Destroyed, Lost or Stolen Warrant Certificates</w:t>
      </w:r>
      <w:r>
        <w:rPr>
          <w:rFonts w:ascii="Times New Roman" w:cs="Times New Roman" w:eastAsia="Times New Roman" w:hAnsi="Times New Roman"/>
          <w:sz w:val="18"/>
          <w:szCs w:val="18"/>
          <w:color w:val="auto"/>
        </w:rPr>
        <w:t>. With respect to the Global Warrants, subject to the provisions of the applicable Warrant Certificate and the last sentence of this first paragraph of Section 6 and subject to applicable law, rules or regulations, or any “stop transfer” instructions the Company may give to the Warrant Agent, at any time after the closing date of the Offering, and at or prior to the Close of Business on the Termination Date (as such term is defined in the applicable Warrant Certificate), any Global Warrant or Global Warrants may be transferred, split up, combined or exchanged for another Global Warrant or Global Warrants, entitling the Holder to purchase a like number of shares of Common Stock as the Global Warrant or Global Warrants surrendered then entitled such Holder to purchase. Any Holder desiring to transfer, split up, combine or exchange any Global Warrant shall make such request in writing delivered to the Warrant Agent, and shall surrender the Global Warrant to be transferred, split up, combined or exchanged at the principal office of the Warrant Agent. Any requested transfer of Warrants, whether in book-entry form or certificate form, shall be accompanied by reasonable evidence of authority of the party making such request that may be required by the Warrant Agent. Thereupon the Warrant Agent shall, subject to the last sentence of this first paragraph of Section 6, countersign and deliver to the Person entitled thereto a Global Warrant or Global Warrants, as the case may be, as so requested. The Company may require payment from the Holder of a sum sufficient to cover any tax or governmental charge that may be imposed in connection with any transfer, split up, combination or exchange of Global Warrants. The Company shall compensate the Warrant Agent per the fee schedule mutually agreed upon by the parties hereto and provided separately on the date hereof.</w:t>
      </w:r>
    </w:p>
    <w:p>
      <w:pPr>
        <w:spacing w:after="0" w:line="19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Upon receipt by the Warrant Agent of evidence reasonably satisfactory to it of the loss, theft, destruction or mutilation of a Warrant Certificate, which evidence shall include an affidavit of loss, or in the case of mutilated certificates, the certificate or portion thereof remaining, and, in case of loss, theft or destruction, of indemnity in customary form and amount (but, with respect to any Definitive Certificates, shall not include the posting of any bond by the Holder), and satisfaction of any other reasonable requirements established by Section 8-405 of the Uniform Commercial Code as in effect in the State of Delaware, and reimbursement to the Company and the Warrant Agent of all reasonable expenses incidental thereto, and upon surrender to the Warrant Agent and cancellation of the Warrant Certificate if mutilated, the Company will make and deliver a new Warrant Certificate of like tenor to the Warrant Agent for delivery to the Holder in lieu of the Warrant Certificate so lost, stolen, destroyed or mutilated.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Exercise of Warrants; Exercise Price; Termination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40" w:firstLine="656"/>
        <w:spacing w:after="0" w:line="252" w:lineRule="auto"/>
        <w:tabs>
          <w:tab w:leader="none" w:pos="56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shall be exercisable commencing on the applicable Initial Exercise Date. The Warrants shall cease to be exercisable and shall terminate and become void as set forth in the applicable Warrant Certificate. Subject to the foregoing and to Section 7(b) below, the Holder of a Warrant may exercise the Warrant in whole or in part upon surrender of the applicable Warrant Certificate, if required, with the executed Notice of Exercise and payment of the applicable Exercise Price, which may be made, at the option of the Holder, by wire transfer or by certified or official bank check in United States dollars, to the Warrant Agent at the principal office of the Warrant Agent or to the office of one of its agents as may be designated by the Warrant Agent from time to time. In the case of the Holder of a Global Warrant, the Holder shall deliver the executed Notice of Exercise and the payment of the applicable Exercise Price as described herein. Notwithstanding any other provision in this Agreement, a holder whose interest in a Global Warrant is a beneficial interest in a Global Warrant held in book-entry form through the Depositary (or another established clearing corporation performing similar functions), shall effect exercises by delivering to the Depositary (or such other clearing corporation, as applicable) the appropriate instruction form for exercise, complying with the procedures to effect exercise that are required by the Depositary (or such other clearing corporation, as applicable). The Company acknowledges that the bank accounts maintained by the Warrant Agent in connection with the services provided under this Agreement will be in its name and that the Warrant Agent may receive investment earnings in connection with the investment at Warrant Agent risk and for its benefit of funds held in those accounts from time to time. Neither the Company nor the Holders will receive interest on any deposits or Exercise Price. No ink-original Notice of Exercise shall be required, nor shall any medallion guarantee (or other type of guarantee or notarization) of any Notice of Exercise be required. The Company hereby acknowledges and agrees that, with respect to a holder whose interest in a Global Warrant is a beneficial interest in a Global Warrant held in book-entry form through the Depositary (or another established clearing corporation performing similar functions), upon delivery of irrevocable instructions to such holder’s Participant to exercise such warrants, that solely for purposes of Regulation SHO that such holder shall be deemed to have exercised such warrants.</w:t>
      </w:r>
    </w:p>
    <w:p>
      <w:pPr>
        <w:spacing w:after="0" w:line="191" w:lineRule="exact"/>
        <w:rPr>
          <w:rFonts w:ascii="Times New Roman" w:cs="Times New Roman" w:eastAsia="Times New Roman" w:hAnsi="Times New Roman"/>
          <w:sz w:val="18"/>
          <w:szCs w:val="18"/>
          <w:color w:val="auto"/>
        </w:rPr>
      </w:pPr>
    </w:p>
    <w:p>
      <w:pPr>
        <w:jc w:val="both"/>
        <w:ind w:left="-340" w:firstLine="656"/>
        <w:spacing w:after="0" w:line="266" w:lineRule="auto"/>
        <w:tabs>
          <w:tab w:leader="none" w:pos="56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 Notice of Exercise for a Cashless Exercise, provided the requirements for a Cashless Exercise have been met, the Company will promptly calculate and transmit to the Warrant Agent the number of Warrant Shares issuable in connection with such Cashless Exercise and deliver a copy of the Notice of Exercise to the Warrant Agent, which shall issue such number of Warrant Shares in connection with such Cashless Exercise.</w:t>
      </w:r>
    </w:p>
    <w:p>
      <w:pPr>
        <w:spacing w:after="0" w:line="175" w:lineRule="exact"/>
        <w:rPr>
          <w:rFonts w:ascii="Times New Roman" w:cs="Times New Roman" w:eastAsia="Times New Roman" w:hAnsi="Times New Roman"/>
          <w:sz w:val="18"/>
          <w:szCs w:val="18"/>
          <w:color w:val="auto"/>
        </w:rPr>
      </w:pPr>
    </w:p>
    <w:p>
      <w:pPr>
        <w:jc w:val="both"/>
        <w:ind w:left="-340" w:firstLine="656"/>
        <w:spacing w:after="0" w:line="253" w:lineRule="auto"/>
        <w:tabs>
          <w:tab w:leader="none" w:pos="56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exercise of a Warrant Certificate pursuant to the terms of Section 2 of such Warrant Certificate, the Warrant Agent shall cause the Warrant Shares underlying such Warrant Certificate or Global Warrant to be delivered to or upon the order of the Holder of such Warrant Certificate or Global Warrant, registered in such name or names as may be designated by such Holder, no later than the Warrant Share Delivery Date (as such term is defined in the applicable Warrant Certificate). If the Company is then a participant in the DWAC system of the Depositary and either (A) there is an effective registration statement permitting the issuance of the Warrant Shares to or resale of the Warrant Shares by Holder or (B) the Warrant is being exercised via Cashless Exercise, then the certificates for Warrant Shares shall be transmitted by the Warrant Agent to the Holder by crediting the account of the Holder’s broker with the Depositary through its DWAC system. For the avoidance of doubt, if the Company becomes obligated to pay any amounts to any Holders pursuant to Section 2(d)(i) or 2(d)(iv) of the applicable Warrant Certificate, such obligation shall be solely that of the Company and not that of the Warrant Agent. Notwithstanding anything else to the contrary in this Agreement, except in the case of a Cashless Exercise, if any Holder fails to duly deliver payment to the Warrant Agent of an amount equal to the aggregate Exercise Price of the Warrant Shares to be purchased upon exercise of such Holder’s Warrant as set forth in Section 7(a) hereof by the Warrant Share Delivery Date, the Warrant Agent will not be obligated to deliver such Warrant Shares (via DWAC or otherwise) until following receipt of such payment, and the applicable Warrant Share Delivery Date shall be deemed extended by one day for each day (or part thereof) until such payment is delivered to the Warrant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267970</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688" w:right="339" w:bottom="1440" w:gutter="0" w:footer="0" w:header="0"/>
        </w:sectPr>
      </w:pPr>
    </w:p>
    <w:bookmarkStart w:id="114" w:name="page115"/>
    <w:bookmarkEnd w:id="114"/>
    <w:p>
      <w:pPr>
        <w:jc w:val="both"/>
        <w:ind w:firstLine="656"/>
        <w:spacing w:after="0" w:line="261" w:lineRule="auto"/>
        <w:tabs>
          <w:tab w:leader="none" w:pos="91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shall deposit all funds received by it in payment of the applicable Exercise Price for all Warrants in the account of the Company maintained with the Warrant Agent for such purpose (or to such other account as directed by the Company in writing) and shall advise the Company via email at the end of each day on which notices of exercise are received or funds for the exercise of any Warrant are received of the amount so deposited to its account.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Cancellation and Destruction of Warrant Certificates</w:t>
      </w:r>
      <w:r>
        <w:rPr>
          <w:rFonts w:ascii="Times New Roman" w:cs="Times New Roman" w:eastAsia="Times New Roman" w:hAnsi="Times New Roman"/>
          <w:sz w:val="18"/>
          <w:szCs w:val="18"/>
          <w:color w:val="auto"/>
        </w:rPr>
        <w:t>. All Warrant Certificates surrendered for the purpose of exercise, transfer, split up, combination or exchange shall, if surrendered to the Company or to any of its agents, be delivered to the Warrant Agent for cancellation or in canceled form, or, if surrendered to the Warrant Agent, shall be canceled by it, and no Warrant Certificate shall be issued in lieu thereof except as expressly permitted by any of the provisions of this Agreement. The Company shall deliver to the Warrant Agent for cancellation and retirement, and the Warrant Agent shall so cancel and retire, any other Warrant Certificate purchased or acquired by the Company otherwise than upon the exercise thereof. The Warrant Agent shall destroy such canceled Warrant Certificates, subject to any applicable law, rule or regulation requiring the Warrant Agent to retain such canceled certificates or subject to any applicable policies of the Warrant Agent.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Certain Representations; Reservation and Availability of Shares of Common Stock or Cash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90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 and, assuming due authorization, execution and delivery hereof by the Warrant Agent, constitutes a valid and legally binding obligation of the Company enforceable against the Company in accordance with its terms, and the Warrants have been duly authorized, executed and issued by the Company and, assuming due authentication thereof by the Warrant Agent pursuant hereto and payment therefor by the Holders as provided in the Registration Statement, constitute valid and legally binding obligations of the Company enforceable against the Company in accordance with their terms and entitled to the benefits hereof; in each case except as enforceability may be limited by bankruptcy, insolvency, reorganization, moratorium and other similar laws relating to or affecting creditors’ rights generally or by general equitable principles (regardless of whether such enforceability is considered in a proceeding in equity or at law).</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3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authorized capital stock of the Company consists of (i) 350,000,000 shares of Common Stock, of which approximately [●] shares of Common Stock are issued and outstanding as of [●], 2026, and [●] shares of Common Stock are reserved for issuance upon exercise of the Warrants, and (ii) 100,000 shares of preferred stock, par value $0.01 per share, of which [●] shares of Series A Preferred Stock and [●] shares of Series B Preferred Stock are issued and outstanding as of [ ● ], 2026. Except as disclosed in the Registration Statement, there are no other outstanding obligations, warrants, options or other rights to subscribe for or purchase from the Company any class of capital stock of the Company.</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89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that it will cause to be reserved and kept available out of its authorized and unissued shares of Common Stock or its authorized and issued shares of Common Stock held in its treasury, free from preemptive rights, the number of shares of Common Stock that will be sufficient to permit the exercise in full of all outstanding Warrants.</w:t>
      </w:r>
    </w:p>
    <w:p>
      <w:pPr>
        <w:spacing w:after="0" w:line="17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will create a special account for the issuance of Common Stock upon the exercise of Warrants.</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89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covenants and agrees that it will pay when due and payable any and all federal and state transfer taxes and charges which may be payable in respect of the original issuance or delivery of the Warrant Certificates or certificates evidencing Common Stock upon exercise of the Warrants. The Company shall not, however, be required to pay any tax or governmental charge which may be payable in respect of any transfer involved in the transfer or delivery of Warrant Certificates or the issuance or delivery of certificates for Common Stock in a name other than that of the Holder of the Warrant Certificate evidencing Warrants surrendered for exercise or to issue or deliver any certificate for shares of Common Stock upon the exercise of any Warrants until any such tax or governmental charge shall have been paid (any such tax or governmental charge being payable by the Holder of such Warrant Certificate at the time of surrender) or until it has been established to the Company’s reasonable satisfaction that no such tax or governmental charge is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5" w:name="page116"/>
    <w:bookmarkEnd w:id="115"/>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Common Stock Record Date</w:t>
      </w:r>
      <w:r>
        <w:rPr>
          <w:rFonts w:ascii="Times New Roman" w:cs="Times New Roman" w:eastAsia="Times New Roman" w:hAnsi="Times New Roman"/>
          <w:sz w:val="18"/>
          <w:szCs w:val="18"/>
          <w:color w:val="auto"/>
        </w:rPr>
        <w:t xml:space="preserve">. Each Person in whose name any certificate for shares of Common Stock is issued (or to whose broker’s account is credited shares of Common Stock through the DWAC system) upon the exercise of Warrants shall for all purposes be deemed to have become the holder of record for the Common Stock represented thereby on, and such certificate shall be dated, the date on which submission of the Notice of Exercise was made, provided that the applicable Warrant Certificate evidencing such Warrant is duly surrendered (but only if required herein) and payment of the applicable Exercise Price (and any applicable transfer taxes) is received on or prior to the Warrant Share Delivery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date of submission of the Notice of Exercise is a date upon which the Common Stock transfer books of the Company are closed, such Person shall be deemed to have become the record holder of such shares on, and such certificate shall be dated, the next succeeding day on which the Common Stock transfer books of the Company are open.</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Adjustment of Exercise Price, Number of Shares of Common Stock or Number of the Company Warrants</w:t>
      </w:r>
      <w:r>
        <w:rPr>
          <w:rFonts w:ascii="Times New Roman" w:cs="Times New Roman" w:eastAsia="Times New Roman" w:hAnsi="Times New Roman"/>
          <w:sz w:val="18"/>
          <w:szCs w:val="18"/>
          <w:color w:val="auto"/>
        </w:rPr>
        <w:t>. The applicable Exercise Price, the number of shares covered by each Warrant and the number of Warrants outstanding are subject to adjustment from time to time as provided in Section 3 of the applicable Warrant Certificate. In the event that at any time, as a result of an adjustment made pursuant to Section 3 of the applicable Warrant Certificate, the Holder of any Warrant thereafter exercised shall become entitled to receive any shares of capital stock of the Company other than shares of Common Stock, thereafter the number of such other shares so receivable upon exercise of any Warrant shall be subject to adjustment from time to time in a manner and on terms as nearly equivalent as practicable to the provisions with respect to the shares contained in Section 3 of the applicable Warrant Certificate and the provisions of Sections 7, 11 and 12 of this Agreement with respect to the shares of Common Stock shall apply on like terms to any such other shares. All Warrants originally issued by the Company subsequent to any adjustment made to the applicable Exercise Price pursuant to the applicable Warrant Certificate shall evidence the right to purchase, at the adjusted Exercise Price, the number of shares of Common Stock purchasable from time to time hereunder upon exercise of the Warrants, all subject to further adjustment as provided herein.</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Certification of Adjusted Exercise Price or Number of Shares of Common Stock</w:t>
      </w:r>
      <w:r>
        <w:rPr>
          <w:rFonts w:ascii="Times New Roman" w:cs="Times New Roman" w:eastAsia="Times New Roman" w:hAnsi="Times New Roman"/>
          <w:sz w:val="18"/>
          <w:szCs w:val="18"/>
          <w:color w:val="auto"/>
        </w:rPr>
        <w:t>. Whenever the applicable Exercise Price or the number of shares of Common Stock issuable upon the exercise of each Warrant is adjusted as provided in Section 11 or 13, the Company shall (a) promptly prepare a certificate setting forth the Exercise Price of each Warrant as so adjusted, and a brief statement of the facts accounting for such adjustment, (b) promptly file with the Warrant Agent and with each transfer agent for the Common Stock a copy of such certificate and (c) instruct the Warrant Agent to send a brief summary thereof to each Holder of a Warrant Certificate.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Fractional Shares of 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9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fractions of Warrants or distribute Warrant Certificates which evidence fractional Warrants. Whenever any fractional Warrant would otherwise be required to be issued or distributed, the actual issuance or distribution shall reflect a rounding of such fraction to the nearest whole Warrant (rounded down).</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fractions of shares of Common Stock upon exercise of Warrants or distribute stock certificates which evidence fractional shares of Common Stock. Whenever any fraction of a share of Common Stock would otherwise be required to be issued or distributed, the actual issuance or distribution in respect thereof shall be made in accordance with Section 2(d)(v) of the applicable Warrant Certificate.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Conditions of the Warrant Agent’s Obligations</w:t>
      </w:r>
      <w:r>
        <w:rPr>
          <w:rFonts w:ascii="Times New Roman" w:cs="Times New Roman" w:eastAsia="Times New Roman" w:hAnsi="Times New Roman"/>
          <w:sz w:val="18"/>
          <w:szCs w:val="18"/>
          <w:color w:val="auto"/>
        </w:rPr>
        <w:t>. 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spacing w:after="0" w:line="174" w:lineRule="exact"/>
        <w:rPr>
          <w:sz w:val="20"/>
          <w:szCs w:val="20"/>
          <w:color w:val="auto"/>
        </w:rPr>
      </w:pPr>
    </w:p>
    <w:p>
      <w:pPr>
        <w:jc w:val="both"/>
        <w:ind w:firstLine="656"/>
        <w:spacing w:after="0" w:line="268" w:lineRule="auto"/>
        <w:tabs>
          <w:tab w:leader="none" w:pos="892"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Compensation and Indemnification</w:t>
      </w:r>
      <w:r>
        <w:rPr>
          <w:rFonts w:ascii="Times New Roman" w:cs="Times New Roman" w:eastAsia="Times New Roman" w:hAnsi="Times New Roman"/>
          <w:sz w:val="17"/>
          <w:szCs w:val="17"/>
          <w:color w:val="auto"/>
        </w:rPr>
        <w:t>. The Company agrees promptly to pay the Warrant Agent the compensation detailed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Exhibit 7</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hereto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all services rendered by the Warrant Agent and to reimburse the Warrant Agent for reasonable out-of-pocket expenses (including reasonable and documented counsel fees) incurred without gross negligence or willful misconduct finally adjudicated to have been directly caused by the Warrant Agent in connection with the services rendered hereunder by the Warrant Agent. The Company also agrees to indemnify the Warrant Agent for, and to hold it harmless against, any loss, liability or expense incurred without gross negligence, or willful misconduct on the part of the Warrant Agent, finally adjudicated to have been directly caused by Warrant Agent hereunder, including the reasonable costs and expenses of defending against any claim of such liability. The Warrant Agent shall be under no obligation to institute or defend any action, suit, or legal proceeding in connection herewith or to take any other action likely to involve the Warrant Agent in expense, unless first indemnified to the Warrant Agent’s satisfaction. The indemnities provided by this paragraph shall survive the resignation or discharge of the Warrant Agent or the termination of this Agreement. Anything in this Agreement to the contrary notwithstanding, in no event shall the Warrant Agent be liable under or in connection with the Agreement for indirect, special, incidental, punitive or consequential losses or damages of any kind whatsoever, including but not limited to lost profits, whether or not foreseeable, even if the Warrant Agent has been advised of the possibility thereof and regardless of the form of action in which such damages are sought, and the Warrant Agent’s aggregate liability to the Company, or any of the Company’s representatives or agents, under this Section 14(a) or under any other term or provision of this Agreement, whether in contract, tort, or otherwise, is expressly limited to, and shall not exceed in any circumstances, one (1) year’s fees received by the Warrant Agent as fees and charges under this Agreement, but not including reimbursable expenses previously reimbursed to the Warrant Agent by the Company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6" w:name="page117"/>
    <w:bookmarkEnd w:id="116"/>
    <w:p>
      <w:pPr>
        <w:jc w:val="both"/>
        <w:ind w:left="-656" w:firstLine="656"/>
        <w:spacing w:after="0" w:line="267" w:lineRule="auto"/>
        <w:tabs>
          <w:tab w:leader="none" w:pos="24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Agent for the Company</w:t>
      </w:r>
      <w:r>
        <w:rPr>
          <w:rFonts w:ascii="Times New Roman" w:cs="Times New Roman" w:eastAsia="Times New Roman" w:hAnsi="Times New Roman"/>
          <w:sz w:val="18"/>
          <w:szCs w:val="18"/>
          <w:color w:val="auto"/>
        </w:rPr>
        <w:t>. In acting under this Warrant Agreement and in connection with the Warrant Certificates, the Warrant Agent is acting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solely as agent of the Company and does not assume any obligations or relationship of agency or trust for or with any of the Holders of Warrant Certificates or beneficial owners of Warrants.</w:t>
      </w:r>
    </w:p>
    <w:p>
      <w:pPr>
        <w:spacing w:after="0" w:line="173" w:lineRule="exact"/>
        <w:rPr>
          <w:rFonts w:ascii="Times New Roman" w:cs="Times New Roman" w:eastAsia="Times New Roman" w:hAnsi="Times New Roman"/>
          <w:sz w:val="18"/>
          <w:szCs w:val="18"/>
          <w:color w:val="auto"/>
        </w:rPr>
      </w:pPr>
    </w:p>
    <w:p>
      <w:pPr>
        <w:jc w:val="both"/>
        <w:ind w:left="-656" w:firstLine="656"/>
        <w:spacing w:after="0" w:line="267" w:lineRule="auto"/>
        <w:tabs>
          <w:tab w:leader="none" w:pos="2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Counsel</w:t>
      </w:r>
      <w:r>
        <w:rPr>
          <w:rFonts w:ascii="Times New Roman" w:cs="Times New Roman" w:eastAsia="Times New Roman" w:hAnsi="Times New Roman"/>
          <w:sz w:val="18"/>
          <w:szCs w:val="18"/>
          <w:color w:val="auto"/>
        </w:rPr>
        <w:t>. The Warrant Agent may consult with counsel satisfactory to it, which may include counsel for the Company, and the written advice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counsel shall be full and complete authorization and protection in respect of any action taken, suffered or omitted by it hereunder in good faith and in accordance with the advice of such counsel.</w:t>
      </w:r>
    </w:p>
    <w:p>
      <w:pPr>
        <w:spacing w:after="0" w:line="173" w:lineRule="exact"/>
        <w:rPr>
          <w:rFonts w:ascii="Times New Roman" w:cs="Times New Roman" w:eastAsia="Times New Roman" w:hAnsi="Times New Roman"/>
          <w:sz w:val="18"/>
          <w:szCs w:val="18"/>
          <w:color w:val="auto"/>
        </w:rPr>
      </w:pPr>
    </w:p>
    <w:p>
      <w:pPr>
        <w:jc w:val="both"/>
        <w:ind w:left="-656" w:firstLine="656"/>
        <w:spacing w:after="0" w:line="267" w:lineRule="auto"/>
        <w:tabs>
          <w:tab w:leader="none" w:pos="24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Documents</w:t>
      </w:r>
      <w:r>
        <w:rPr>
          <w:rFonts w:ascii="Times New Roman" w:cs="Times New Roman" w:eastAsia="Times New Roman" w:hAnsi="Times New Roman"/>
          <w:sz w:val="18"/>
          <w:szCs w:val="18"/>
          <w:color w:val="auto"/>
        </w:rPr>
        <w:t>. The Warrant Agent shall be protected and shall incur no liability for or in respect of any action taken or omitted by it in reliance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any Warrant Certificate, notice, direction, consent, certificate, affidavit, statement or other paper or document reasonably believed by it to be genuine and to have been presented or signed by the proper parties.</w:t>
      </w:r>
    </w:p>
    <w:p>
      <w:pPr>
        <w:spacing w:after="0" w:line="173"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25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Transactions</w:t>
      </w:r>
      <w:r>
        <w:rPr>
          <w:rFonts w:ascii="Times New Roman" w:cs="Times New Roman" w:eastAsia="Times New Roman" w:hAnsi="Times New Roman"/>
          <w:sz w:val="18"/>
          <w:szCs w:val="18"/>
          <w:color w:val="auto"/>
        </w:rPr>
        <w:t>. The Warrant Agent, and its officers, directors and employees, may become the owner of, or acquire any interest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Warrant Agreement shall be deemed to prevent the Warrant Agent from acting as trustee under any indenture to which the Company is a party.</w:t>
      </w:r>
    </w:p>
    <w:p>
      <w:pPr>
        <w:spacing w:after="0" w:line="183" w:lineRule="exact"/>
        <w:rPr>
          <w:rFonts w:ascii="Times New Roman" w:cs="Times New Roman" w:eastAsia="Times New Roman" w:hAnsi="Times New Roman"/>
          <w:sz w:val="18"/>
          <w:szCs w:val="18"/>
          <w:color w:val="auto"/>
        </w:rPr>
      </w:pPr>
    </w:p>
    <w:p>
      <w:pPr>
        <w:ind w:left="-656" w:right="20" w:firstLine="656"/>
        <w:spacing w:after="0" w:line="284" w:lineRule="auto"/>
        <w:tabs>
          <w:tab w:leader="none" w:pos="21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Liability for Interest</w:t>
      </w:r>
      <w:r>
        <w:rPr>
          <w:rFonts w:ascii="Times New Roman" w:cs="Times New Roman" w:eastAsia="Times New Roman" w:hAnsi="Times New Roman"/>
          <w:sz w:val="18"/>
          <w:szCs w:val="18"/>
          <w:color w:val="auto"/>
        </w:rPr>
        <w:t>. Unless otherwise agreed with the Company, the Warrant Agent shall have no liability for interest on any monies 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received by it pursuant to any of the provisions of this Agreement or of the Warrant Certificates.</w:t>
      </w:r>
    </w:p>
    <w:p>
      <w:pPr>
        <w:spacing w:after="0" w:line="158" w:lineRule="exact"/>
        <w:rPr>
          <w:rFonts w:ascii="Times New Roman" w:cs="Times New Roman" w:eastAsia="Times New Roman" w:hAnsi="Times New Roman"/>
          <w:sz w:val="18"/>
          <w:szCs w:val="18"/>
          <w:color w:val="auto"/>
        </w:rPr>
      </w:pPr>
    </w:p>
    <w:p>
      <w:pPr>
        <w:ind w:left="-656" w:firstLine="656"/>
        <w:spacing w:after="0" w:line="284" w:lineRule="auto"/>
        <w:tabs>
          <w:tab w:leader="none" w:pos="27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Liability for Invalidity</w:t>
      </w:r>
      <w:r>
        <w:rPr>
          <w:rFonts w:ascii="Times New Roman" w:cs="Times New Roman" w:eastAsia="Times New Roman" w:hAnsi="Times New Roman"/>
          <w:sz w:val="18"/>
          <w:szCs w:val="18"/>
          <w:color w:val="auto"/>
        </w:rPr>
        <w:t>. The Warrant Agent shall have no liability with respect to any invalidity of this Agreement or the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Certificates (except as to the Warrant Agent’s countersignature thereon).</w:t>
      </w:r>
    </w:p>
    <w:p>
      <w:pPr>
        <w:spacing w:after="0" w:line="158" w:lineRule="exact"/>
        <w:rPr>
          <w:rFonts w:ascii="Times New Roman" w:cs="Times New Roman" w:eastAsia="Times New Roman" w:hAnsi="Times New Roman"/>
          <w:sz w:val="18"/>
          <w:szCs w:val="18"/>
          <w:color w:val="auto"/>
        </w:rPr>
      </w:pPr>
    </w:p>
    <w:p>
      <w:pPr>
        <w:ind w:left="-656" w:right="20" w:firstLine="656"/>
        <w:spacing w:after="0" w:line="284" w:lineRule="auto"/>
        <w:tabs>
          <w:tab w:leader="none" w:pos="2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Responsibility for Representations</w:t>
      </w:r>
      <w:r>
        <w:rPr>
          <w:rFonts w:ascii="Times New Roman" w:cs="Times New Roman" w:eastAsia="Times New Roman" w:hAnsi="Times New Roman"/>
          <w:sz w:val="18"/>
          <w:szCs w:val="18"/>
          <w:color w:val="auto"/>
        </w:rPr>
        <w:t>. The Warrant Agent shall not be responsible for any of the recitals or representations herein or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 Certificates (except as to the Warrant Agent’s countersignature thereon), all of which are made solely by the Company.</w:t>
      </w:r>
    </w:p>
    <w:p>
      <w:pPr>
        <w:spacing w:after="0" w:line="158"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23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Implied Obligations</w:t>
      </w:r>
      <w:r>
        <w:rPr>
          <w:rFonts w:ascii="Times New Roman" w:cs="Times New Roman" w:eastAsia="Times New Roman" w:hAnsi="Times New Roman"/>
          <w:sz w:val="18"/>
          <w:szCs w:val="18"/>
          <w:color w:val="auto"/>
        </w:rPr>
        <w:t>. The Warrant Agent shall be obligated to perform only such duties as are herein and in the Warrant Certificates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269875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6" w:right="339" w:bottom="1440" w:gutter="0" w:footer="0" w:header="0"/>
        </w:sectPr>
      </w:pPr>
    </w:p>
    <w:bookmarkStart w:id="117" w:name="page118"/>
    <w:bookmarkEnd w:id="117"/>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Purchase or Consolidation or Change of Name of Warrant Agent</w:t>
      </w:r>
      <w:r>
        <w:rPr>
          <w:rFonts w:ascii="Times New Roman" w:cs="Times New Roman" w:eastAsia="Times New Roman" w:hAnsi="Times New Roman"/>
          <w:sz w:val="18"/>
          <w:szCs w:val="18"/>
          <w:color w:val="auto"/>
        </w:rPr>
        <w:t>. Any corporation into which the Warrant Agent or any successor Warrant Agent may be merged or with which it may be consolidated, or any corporation resulting from any merger or consolidation to which the Warrant Agent or any successor Warrant Agent shall be party, or any corporation succeeding to the corporate trust business of the Warrant Agent or any successor Warrant Agent, shall be the successor to the Warrant Agent under this Agreement without the execution or filing of any paper or any further act on the part of any of the parties hereto, provided that such corporation would be eligible for appointment as a successor Warrant Agent under the provisions of Section 17. In case at the time such successor Warrant Agent shall succeed to the agency created by this Agreement any of the Warrant Certificates shall have been countersigned but not delivered, any such successor Warrant Agent may adopt the countersignature of the predecessor Warrant Agent and deliver such Warrant Certificates so countersigned; and in case at that time any of the Warrant Certificates shall not have been countersigned, any successor Warrant Agent may countersign such Warrant Certificates either in the name of the predecessor Warrant Agent or in the name of the successor Warrant Agent; and in all such cases such Warrant Certificates shall have the full force provided in the Warrant Certificates and in this Agreement.</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case at any time the name of the Warrant Agent shall be changed and at such time any of the Warrant Certificates shall have been countersigned but not delivered, the Warrant Agent may adopt the countersignature under its prior name and deliver such Warrant Certificates so countersigned; and in case at that time any of the Warrant Certificates shall not have been countersigned, the Warrant Agent may countersign such Warrant Certificates either in its prior name or in its changed name; and in all such cases such Warrant Certificates shall have the full force provided in the Warrant Certificates and in this Agreement.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Duties of Warrant Agent</w:t>
      </w:r>
      <w:r>
        <w:rPr>
          <w:rFonts w:ascii="Times New Roman" w:cs="Times New Roman" w:eastAsia="Times New Roman" w:hAnsi="Times New Roman"/>
          <w:sz w:val="18"/>
          <w:szCs w:val="18"/>
          <w:color w:val="auto"/>
        </w:rPr>
        <w:t>. The Warrant Agent undertakes the duties and obligations imposed by this Agreement upon the following terms and conditions, by all of which the Company, by its acceptance hereof, shall be bound:</w:t>
      </w:r>
    </w:p>
    <w:p>
      <w:pPr>
        <w:spacing w:after="0" w:line="162" w:lineRule="exact"/>
        <w:rPr>
          <w:sz w:val="20"/>
          <w:szCs w:val="20"/>
          <w:color w:val="auto"/>
        </w:rPr>
      </w:pPr>
    </w:p>
    <w:p>
      <w:pPr>
        <w:jc w:val="both"/>
        <w:ind w:firstLine="656"/>
        <w:spacing w:after="0" w:line="266" w:lineRule="auto"/>
        <w:tabs>
          <w:tab w:leader="none" w:pos="89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may consult with legal counsel reasonably acceptable to the Company (who may be legal counsel for the Company), and the opinion of such counsel shall be full and complete authorization and protection to the Warrant Agent as to any action taken or omitted by it in good faith and in accordance with such opinion.</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certificate signed by the Chief Executive Officer or Chief Financial Officer of the Company; and such certificate shall be full authentication to the Warrant Agent for any action taken or suffered in good faith by it under the provisions of this Agreement in reliance upon such certificate.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1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 set forth in Section 14, the Warrant Agent shall be liable hereunder only for its own gross negligence or willful misconduct, or for a breach by it of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shall not be liable for or by reason of any of the statements of fact or recitals contained in this Agreement or in the Warrant Certificates (except its countersignature thereof) by the Company or be required to verify the same, but all such statements and recitals are and shall be deemed to have been made by the Company only.</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1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shall not be under any responsibility in respect of the validity of this Agreement or the execution and delivery hereof (except the due execution hereof by the Warrant Agent) or in respect of the validity or execution of any Warrant Certificate (except its countersignature thereof); nor shall it be responsible for any breach by the Company of any covenant or condition contained in this Agreement or in any Warrant Certificate; nor shall it be responsible for the adjustment of the Exercise Price or the making of any change in the number of shares of Common Stock required under the provisions of Section 11 or 13 or responsible for the manner, method or amount of any such change or the ascertaining of the existence of facts that would require any such adjustment or change (except with respect to the exercise of Warrants evidenced by the Warrant Certificates after actual notice of any adjustment of the applicable Exercise Price); nor shall it by any act hereunder be deemed to make any representation or warranty as to the authorization or reservation of any shares of Common Stock to be issued pursuant to this Agreement or any Warrant Certificate or as to whether any shares of Common Stock will, when issued, be duly authorized,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8" w:name="page119"/>
    <w:bookmarkEnd w:id="118"/>
    <w:p>
      <w:pPr>
        <w:jc w:val="both"/>
        <w:ind w:firstLine="656"/>
        <w:spacing w:after="0" w:line="266" w:lineRule="auto"/>
        <w:tabs>
          <w:tab w:leader="none" w:pos="90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agrees that it will perform, execute, acknowledge and deliver or cause to be performed, executed, acknowledged and delivered all such further and other acts, instruments and assurances as may reasonably be required by the other party hereto for the carrying out or performing by any party of the provisions of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is hereby authorized to accept instructions with respect to the performance of its duties hereunder from the Chief Executive Officer, President, Chief Financial Officer or Vice President of the Company, and to apply to such officers for advice or instructions in connection with its duties, and it shall not be liable and shall be indemnified and held harmless for any action taken or suffered to be taken by it in good faith in accordance with instructions of any such officer, provided Warrant Agent carries out such instructions without gross negligence or willful misconduct.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1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and any shareholder, director, officer or employee of the Warrant Agent may buy, sell or deal in any of the Warrants or other securities of the Company or become pecuniarily interested in any transaction in which the Company may be interested, or contract with or lend money to the Company or otherwise act as fully and freely as though it were not Warrant Agent under this Agreement. Nothing herein shall preclude the Warrant Agent from acting in any other capacity for the Company or for any other legal entity.</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8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may execute and exercise any of the rights or powers hereby vested in it or perform any duty hereunder either itself or by or through its attorney or agents, and the Warrant Agent shall not be answerable or accountable for any act, default, neglect or misconduct of any such attorney or agents or for any loss to the Company resulting from any such act, default, neglect or misconduct, provided reasonable care was exercised in the selection and continued employment thereof.</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Change of Warrant Agent</w:t>
      </w:r>
      <w:r>
        <w:rPr>
          <w:rFonts w:ascii="Times New Roman" w:cs="Times New Roman" w:eastAsia="Times New Roman" w:hAnsi="Times New Roman"/>
          <w:sz w:val="18"/>
          <w:szCs w:val="18"/>
          <w:color w:val="auto"/>
        </w:rPr>
        <w:t>. The Warrant Agent may resign and be discharged from its duties under this Agreement upon 30 days’ notice in writing sent to the Company and to each transfer agent of the Common Stock, and to the Holders of the Warrant Certificates. The Company may remove the Warrant Agent or any successor Warrant Agent upon 30 days’ notice in writing, sent to the Warrant Agent or successor Warrant Agent, as the case may be, and to each transfer agent of the Common Stock, and to the Holders of the Warrant Certificates. If the Warrant Agent shall resign or be removed or shall otherwise become incapable of acting, the Company shall appoint a successor to the Warrant Agent. If the Company shall fail to make such appointment within a period of 30 days after such removal or after it has been notified in writing of such resignation or incapacity by the resigning or incapacitated Warrant Agent or by the Holder of a Warrant Certificate (who shall, with such notice, submit his Warrant Certificate for inspection by the Company), then the Holder of any Warrant Certificate may apply to any court of competent jurisdiction for the appointment of a new Warrant Agent, provided that, for purposes of this Agreement, the Company shall be deemed to be the Warrant Agent until a new warrant agent is appointed. Any successor Warrant Agent, whether appointed by the Company or by such a court, shall be a corporation organized and doing business under the laws of the United States or of a state thereof, in good standing, which is authorized under such laws to exercise corporate trust powers and is subject to supervision or examination by federal or state authority and which has at the time of its appointment as Warrant Agent a combined capital and surplus of at least $50,000,000. After appointment, the successor Warrant Agent shall be vested with the same powers, rights, duties and responsibilities as if it had been originally named as Warrant Agent without further act or deed; but the predecessor Warrant Agent shall deliver and transfer to the successor Warrant Agent any property at the time held by it hereunder, and execute and deliver any further assurance, conveyance, act or deed necessary for the purpose. Not later than the effective date of any such appointment, the Company shall file notice thereof in writing with the predecessor Warrant Agent and each transfer agent of the Common Stock, and mail a notice thereof in writing to the Holders of the Warrant Certificates. However, failure to give any notice provided for in this Section 17, or any defect therein, shall not affect the legality or validity of the resignation or removal of the Warrant Agent or the appointment of the successor Warrant Agent, as the case may be.</w:t>
      </w:r>
    </w:p>
    <w:p>
      <w:pPr>
        <w:spacing w:after="0" w:line="19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Issuance of New Warrant Certificates</w:t>
      </w:r>
      <w:r>
        <w:rPr>
          <w:rFonts w:ascii="Times New Roman" w:cs="Times New Roman" w:eastAsia="Times New Roman" w:hAnsi="Times New Roman"/>
          <w:sz w:val="18"/>
          <w:szCs w:val="18"/>
          <w:color w:val="auto"/>
        </w:rPr>
        <w:t>. Notwithstanding any of the provisions of this Agreement or of the Warrants to the contrary, the Company may, at its option, issue new Warrant Certificates evidencing the Warrants in such form as may be approved by its Board of Directors to reflect any adjustment or change in the applicable Exercise Price per share and the number or kind or class of shares of stock or other securities or property purchasable under the several Warrant Certificates made in accordance with the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9" w:name="page120"/>
    <w:bookmarkEnd w:id="119"/>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or demands authorized by this Agreement to be given or made (i) by the Warrant Agent or by the Holder of any Warrant Certificate to or on the Company, (ii) subject to the provisions of Section 17, by the Company or by the Holder of any Warrant Certificate to or on the Warrant Agent or (iii) by the Company or the Warrant Agent to the Holder of any Warrant Certificate shall be deemed given (a) on the date delivered, if delivered personally, (b) on the first Business Day following the deposit thereof with Federal Express or another recognized overnight courier, if sent by Federal Express or another recognized overnight courier, (c) on the fourth Business Day following the mailing thereof with postage prepaid, if mailed by registered or certified mail (return receipt requested), and (d) the date of transmission, if such notice or communication is delivered via facsimile or email attachment at or prior to 5:30 p.m. (New York City time) on a Business Day and (e) the next Business Day after the date of transmission, if such notice or communication is delivered via facsimile or email attachment on a day that is not a Business Day or later than 5:30 p.m. (New York City time) on any Business Day, in each case to the parties at the following addresses (or at such other address for a party as shall be specified by like notice):</w:t>
      </w:r>
    </w:p>
    <w:p>
      <w:pPr>
        <w:spacing w:after="0" w:line="184" w:lineRule="exact"/>
        <w:rPr>
          <w:sz w:val="20"/>
          <w:szCs w:val="20"/>
          <w:color w:val="auto"/>
        </w:rPr>
      </w:pPr>
    </w:p>
    <w:p>
      <w:pPr>
        <w:ind w:left="660" w:right="8900" w:hanging="328"/>
        <w:spacing w:after="0" w:line="263"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to the Company, to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Stacy R. Lindborg</w:t>
      </w:r>
    </w:p>
    <w:p>
      <w:pPr>
        <w:ind w:left="660" w:right="8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997 Lenox Drive, Suite 100 Lawrenceville, New Jersey 08648 Email: [●]</w:t>
      </w:r>
    </w:p>
    <w:p>
      <w:pPr>
        <w:spacing w:after="0" w:line="1" w:lineRule="exact"/>
        <w:rPr>
          <w:rFonts w:ascii="Times New Roman" w:cs="Times New Roman" w:eastAsia="Times New Roman" w:hAnsi="Times New Roman"/>
          <w:sz w:val="18"/>
          <w:szCs w:val="18"/>
          <w:color w:val="auto"/>
        </w:rPr>
      </w:pPr>
    </w:p>
    <w:p>
      <w:pPr>
        <w:ind w:left="660" w:right="70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 Covington &amp; Burling LLP</w:t>
      </w:r>
    </w:p>
    <w:p>
      <w:pPr>
        <w:ind w:left="660" w:right="74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International Place, Suite 1020 Boston, Massachusetts 02110 Attention: Michael Riella and Megan Gates Email: mriella@cov.com; mgates@cov.com</w:t>
      </w:r>
    </w:p>
    <w:p>
      <w:pPr>
        <w:spacing w:after="0" w:line="184" w:lineRule="exact"/>
        <w:rPr>
          <w:rFonts w:ascii="Times New Roman" w:cs="Times New Roman" w:eastAsia="Times New Roman" w:hAnsi="Times New Roman"/>
          <w:sz w:val="18"/>
          <w:szCs w:val="18"/>
          <w:color w:val="auto"/>
        </w:rPr>
      </w:pPr>
    </w:p>
    <w:p>
      <w:pPr>
        <w:ind w:left="660" w:right="8420" w:hanging="328"/>
        <w:spacing w:after="0" w:line="255"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to the Warrant Agent, to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Equiniti Trust Company, LLC 6201 15th Avenue Brooklyn, New York 11219 Attention: [●]</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any notice delivered by email to be deemed given or made, such notice must be followed by notice sent by overnight courier service to be delivered on the next business day following such email, unless the recipient of such email has acknowledged via return email receipt of such email.</w:t>
      </w:r>
    </w:p>
    <w:p>
      <w:pPr>
        <w:spacing w:after="0" w:line="162" w:lineRule="exact"/>
        <w:rPr>
          <w:sz w:val="20"/>
          <w:szCs w:val="20"/>
          <w:color w:val="auto"/>
        </w:rPr>
      </w:pPr>
    </w:p>
    <w:p>
      <w:pPr>
        <w:jc w:val="both"/>
        <w:ind w:firstLine="656"/>
        <w:spacing w:after="0" w:line="261" w:lineRule="auto"/>
        <w:tabs>
          <w:tab w:leader="none" w:pos="89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Holder of any Warrant Certificate to the address of such Holder as shown on the registry books of the Company. Any notice required to be delivered by the Company to the Holder of any Warrant may be given by the Warrant Agent on behalf of the Company. Notwithstanding any other provision of this Agreement, where this Agreement provides for notice of any event to a Holder of any Warrant, such notice shall be sufficiently given if given to the Depositary (or its designee) pursuant to the procedures of the Depositary or its designee.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Supplements and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90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Warrant Agent may from time to time supplement or amend this Agreement without the approval of any Holders of Global Warrants in order to (i) add to the covenants and agreements of the Company for the benefit of the Holders of the Global Warrants, (ii) to surrender any rights or power reserved to or conferred upon the Company in this Agreement, (iii) to cure any ambiguity or (iv) to correct or supplement any provision contained herein which may be defective or inconsistent with any other provisions herein, provided that such addition, correction or surrender shall not adversely affect the interests of the Holders of the Global Warrants or Warrant Certificates in any material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0" w:name="page121"/>
    <w:bookmarkEnd w:id="120"/>
    <w:p>
      <w:pPr>
        <w:jc w:val="both"/>
        <w:ind w:firstLine="656"/>
        <w:spacing w:after="0" w:line="253" w:lineRule="auto"/>
        <w:tabs>
          <w:tab w:leader="none" w:pos="91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foregoing, with the consent of Holders of the Warrants of each tranche affected thereby entitled, upon exercise thereof, to receive not less than a majority of the shares of Common Stock issuable under the Warrants of such tranche, the Company and the Warrant Agent may modify this Agreement for the purpose of adding any provisions to or changing in any manner or eliminating any of the provisions of this Warrant Agreement or modifying in any manner the rights of the Holders of the Global Warrants;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modification of the terms (including but not limited to the adjustments described in Section 11) upon which the Warrants are exercisable or the rights of holders of Warrants to receive liquidated damages or other payments in cash from the Company or reducing the percentage required for consent to modification of this Agreement may be made without the consent of the Holder of each outstanding Warrant Certificate affected thereby;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amendment hereunder shall affect any terms of any Warrant Certificate issued in a Warrant Exchange. As a condition precedent to the Warrant Agent’s execution of any amendment, the Company shall deliver to the Warrant Agent a certificate from a duly authorized officer of the Company that states that the proposed amendment complies with the terms of this Section 20.</w:t>
      </w:r>
    </w:p>
    <w:p>
      <w:pPr>
        <w:spacing w:after="0" w:line="1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covenants and provisions of this Agreement by or for the benefit of the Company or the Warrant Agent shall bind and inure to the benefit of their respective successors and assigns hereunder.</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Benefits of this Agreement</w:t>
      </w:r>
      <w:r>
        <w:rPr>
          <w:rFonts w:ascii="Times New Roman" w:cs="Times New Roman" w:eastAsia="Times New Roman" w:hAnsi="Times New Roman"/>
          <w:sz w:val="18"/>
          <w:szCs w:val="18"/>
          <w:color w:val="auto"/>
        </w:rPr>
        <w:t>. Nothing in this Agreement shall be construed to give any Person other than the Company, the Holders of Warrant Certificates and the Warrant Agent any legal or equitable right, remedy or claim under this Agreement. This Agreement shall be for the sole and exclusive benefit of the Company, the Warrant Agent and the Holders of the Warrant Certificates. Notwithstanding anything to the contrary contained herein, to the extent any provision of a Warrant Certificate conflicts with any provision of this Agreement, the provisions of the applicable Warrant Certificate shall govern and be controlling.</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each Warrant Certificate and Global Warrant issued hereunder shall be governed by, and construed in accordance with, the laws of the State of New York without giving effect to the conflicts of law principles thereof.</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each of such counterparts shall for all purposes be deemed to be an original, and all such counterparts shall together constitute but one and the same instrument. Delivery of a signature page to this Agreement via facsimile or other electronic image transmission shall be valid and binding for all purposes.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The captions of the sections of this Agreement have been inserted for convenience only and shall not control or affect the meaning or construction of any of the provisions hereof.</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Company agrees to promptly provide to the Holders of the Warrants any information it provides to the holders of the Common Stock, except to the extent any such information is publicly available on the EDGAR system (or any successor thereof) of the Securities and Exchange Commission.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day and year first above written.</w:t>
      </w:r>
    </w:p>
    <w:p>
      <w:pPr>
        <w:spacing w:after="0" w:line="2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17145</wp:posOffset>
            </wp:positionV>
            <wp:extent cx="32061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Stacy R. Lindborg</w:t>
      </w:r>
    </w:p>
    <w:p>
      <w:pPr>
        <w:spacing w:after="0" w:line="23"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EQUINITI TRUST COMPANY, LLC</w:t>
      </w:r>
    </w:p>
    <w:p>
      <w:pPr>
        <w:spacing w:after="0" w:line="2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17145</wp:posOffset>
            </wp:positionV>
            <wp:extent cx="32061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280035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99"/>
          </w:cols>
          <w:pgMar w:left="660" w:top="688" w:right="1440"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Tranche A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Tranche B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Exhibit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Tranche C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Exhibit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Tranche D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Warrant Certificate Request Notice</w:t>
      </w:r>
    </w:p>
    <w:p>
      <w:pPr>
        <w:spacing w:after="0" w:line="22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WARRANT CERTIFICATE REQUEST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EQUINITI TRUST COMPANY, LLC, as Warrant Agent for IMUNON, INC.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Holder of [Tranche A / Tranche B / Tranche C / Tranche D] Warrants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in the form of Global Warrants issued by the Company hereby elects to receive a Warrant Certificate evidencing the Warrants held by the Holder as specified below:</w:t>
      </w:r>
    </w:p>
    <w:p>
      <w:pPr>
        <w:spacing w:after="0" w:line="162" w:lineRule="exact"/>
        <w:rPr>
          <w:sz w:val="20"/>
          <w:szCs w:val="20"/>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Holder of Warrants in form of Global Warrants: _____________________________</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Holder in Warrant Certificate (if different from name of Holder of Warrants in form of Global Warrants):____________</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Warrants in name of Holder in form of Global Warrants: ___________</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Warrants for which Warrant Certificate shall be issued: ___________</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Warrants in name of Holder in form of Global Warrants after issuance of Warrant Certificate, if any: ___________</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Certificate shall be delivered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291465</wp:posOffset>
            </wp:positionV>
            <wp:extent cx="21342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acknowledges and agrees that, in connection with this Warrant Exchange and the issuance of the Warrant Certificate[s], the Holder is deemed to have surrendered the number of Warrants in form of Global Warrants in the name of the Holder equal to the number of Warrants evidenced by the Warrant Certificate[s].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5">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Exhibit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Global Warrant Request Notice</w:t>
      </w:r>
    </w:p>
    <w:p>
      <w:pPr>
        <w:spacing w:after="0" w:line="22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GLOBAL WARRANT REQUEST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EQUINITI TRUST COMPANY, LLC, as Warrant Agent for IMUNON, INC. (the “Company”)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undersigned Holder of [Tranche A / Tranche B / Tranche C / Tranche D]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in the form of Warrants Certificates issued by the Company hereby elects to receive a Global Warrant evidencing the Warrants held by the Holder as specified below:</w:t>
      </w:r>
    </w:p>
    <w:p>
      <w:pPr>
        <w:spacing w:after="0" w:line="162" w:lineRule="exact"/>
        <w:rPr>
          <w:sz w:val="20"/>
          <w:szCs w:val="20"/>
          <w:color w:val="auto"/>
        </w:rPr>
      </w:pPr>
    </w:p>
    <w:p>
      <w:pPr>
        <w:ind w:left="340" w:hanging="332"/>
        <w:spacing w:after="0"/>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Holder of Warrants in form of Warrant Certificates: _____________________________</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Holder in Global Warrant (if different from name of Holder of Warrants in form of Warrant Certificates): _____________________________</w:t>
      </w:r>
    </w:p>
    <w:p>
      <w:pPr>
        <w:spacing w:after="0" w:line="236"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Warrants in name of Holder in form of Warrant Certificates: ___________</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Warrants for which Global Warrant shall be issued: ___________</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Warrants in name of Holder in form of Warrant Certificates after issuance of Global Warrant, if any: ___________</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Warrant shall be delivered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291465</wp:posOffset>
            </wp:positionV>
            <wp:extent cx="21342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7">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acknowledges and agrees that, in connection with this Global Warrant Exchange and the issuance of the Global Warrant[s], the Holder is deemed to have surrendered the number of Warrants in form of Warrant Certificates in the name of the Holder equal to the number of Warrants evidenced by the Global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2">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6040" w:type="dxa"/>
            <w:vAlign w:val="bottom"/>
          </w:tcPr>
          <w:p>
            <w:pPr>
              <w:jc w:val="right"/>
              <w:ind w:right="4050"/>
              <w:spacing w:after="0"/>
              <w:rPr>
                <w:sz w:val="20"/>
                <w:szCs w:val="20"/>
                <w:color w:val="auto"/>
              </w:rPr>
            </w:pPr>
            <w:r>
              <w:rPr>
                <w:rFonts w:ascii="Times New Roman" w:cs="Times New Roman" w:eastAsia="Times New Roman" w:hAnsi="Times New Roman"/>
                <w:sz w:val="18"/>
                <w:szCs w:val="18"/>
                <w:b w:val="1"/>
                <w:bCs w:val="1"/>
                <w:color w:val="auto"/>
              </w:rPr>
              <w:t>Exhibit 7</w:t>
            </w:r>
          </w:p>
        </w:tc>
        <w:tc>
          <w:tcPr>
            <w:tcW w:w="1120" w:type="dxa"/>
            <w:vAlign w:val="bottom"/>
          </w:tcPr>
          <w:p>
            <w:pPr>
              <w:spacing w:after="0"/>
              <w:rPr>
                <w:sz w:val="20"/>
                <w:szCs w:val="20"/>
                <w:color w:val="auto"/>
              </w:rPr>
            </w:pPr>
          </w:p>
        </w:tc>
      </w:tr>
      <w:tr>
        <w:trPr>
          <w:trHeight w:val="432"/>
        </w:trPr>
        <w:tc>
          <w:tcPr>
            <w:tcW w:w="4080" w:type="dxa"/>
            <w:vAlign w:val="bottom"/>
          </w:tcPr>
          <w:p>
            <w:pPr>
              <w:spacing w:after="0"/>
              <w:rPr>
                <w:sz w:val="24"/>
                <w:szCs w:val="24"/>
                <w:color w:val="auto"/>
              </w:rPr>
            </w:pPr>
          </w:p>
        </w:tc>
        <w:tc>
          <w:tcPr>
            <w:tcW w:w="6040" w:type="dxa"/>
            <w:vAlign w:val="bottom"/>
          </w:tcPr>
          <w:p>
            <w:pPr>
              <w:jc w:val="right"/>
              <w:ind w:right="3290"/>
              <w:spacing w:after="0"/>
              <w:rPr>
                <w:sz w:val="20"/>
                <w:szCs w:val="20"/>
                <w:color w:val="auto"/>
              </w:rPr>
            </w:pPr>
            <w:r>
              <w:rPr>
                <w:rFonts w:ascii="Times New Roman" w:cs="Times New Roman" w:eastAsia="Times New Roman" w:hAnsi="Times New Roman"/>
                <w:sz w:val="18"/>
                <w:szCs w:val="18"/>
                <w:b w:val="1"/>
                <w:bCs w:val="1"/>
                <w:color w:val="auto"/>
              </w:rPr>
              <w:t>Warrant Agent Fee Schedule</w:t>
            </w:r>
          </w:p>
        </w:tc>
        <w:tc>
          <w:tcPr>
            <w:tcW w:w="1120" w:type="dxa"/>
            <w:vAlign w:val="bottom"/>
          </w:tcPr>
          <w:p>
            <w:pPr>
              <w:spacing w:after="0"/>
              <w:rPr>
                <w:sz w:val="24"/>
                <w:szCs w:val="24"/>
                <w:color w:val="auto"/>
              </w:rPr>
            </w:pPr>
          </w:p>
        </w:tc>
      </w:tr>
      <w:tr>
        <w:trPr>
          <w:trHeight w:val="216"/>
        </w:trPr>
        <w:tc>
          <w:tcPr>
            <w:tcW w:w="40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Acceptance Fee for Agreement review</w:t>
            </w:r>
          </w:p>
        </w:tc>
        <w:tc>
          <w:tcPr>
            <w:tcW w:w="604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Monthly Administration Fee: per Warrant Register</w:t>
            </w:r>
          </w:p>
        </w:tc>
        <w:tc>
          <w:tcPr>
            <w:tcW w:w="60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Warrant Exercise</w:t>
            </w:r>
          </w:p>
        </w:tc>
        <w:tc>
          <w:tcPr>
            <w:tcW w:w="604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08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1)"/>
      <w:numFmt w:val="lowerLetter"/>
      <w:start w:val="1"/>
    </w:lvl>
  </w:abstractNum>
  <w:abstractNum w:abstractNumId="5">
    <w:nsid w:val="6590700B"/>
    <w:multiLevelType w:val="hybridMultilevel"/>
    <w:lvl w:ilvl="0">
      <w:lvlJc w:val="left"/>
      <w:lvlText w:val="%1"/>
      <w:numFmt w:val="lowerLetter"/>
      <w:start w:val="1"/>
    </w:lvl>
    <w:lvl w:ilvl="1">
      <w:lvlJc w:val="left"/>
      <w:lvlText w:val="(%2)"/>
      <w:numFmt w:val="lowerRoman"/>
      <w:start w:val="1"/>
    </w:lvl>
  </w:abstractNum>
  <w:abstractNum w:abstractNumId="6">
    <w:nsid w:val="15014ACB"/>
    <w:multiLevelType w:val="hybridMultilevel"/>
    <w:lvl w:ilvl="0">
      <w:lvlJc w:val="left"/>
      <w:lvlText w:val="(%1)"/>
      <w:numFmt w:val="lowerLetter"/>
      <w:start w:val="2"/>
    </w:lvl>
    <w:lvl w:ilvl="1">
      <w:lvlJc w:val="left"/>
      <w:lvlText w:val="%2"/>
      <w:numFmt w:val="lowerRoman"/>
      <w:start w:val="1"/>
    </w:lvl>
  </w:abstractNum>
  <w:abstractNum w:abstractNumId="7">
    <w:nsid w:val="5F5E7FD0"/>
    <w:multiLevelType w:val="hybridMultilevel"/>
    <w:lvl w:ilvl="0">
      <w:lvlJc w:val="left"/>
      <w:lvlText w:val="(%1)"/>
      <w:numFmt w:val="lowerLetter"/>
      <w:start w:val="1"/>
    </w:lvl>
  </w:abstractNum>
  <w:abstractNum w:abstractNumId="8">
    <w:nsid w:val="98A3148"/>
    <w:multiLevelType w:val="hybridMultilevel"/>
    <w:lvl w:ilvl="0">
      <w:lvlJc w:val="left"/>
      <w:lvlText w:val="(%1)"/>
      <w:numFmt w:val="lowerLetter"/>
      <w:start w:val="3"/>
    </w:lvl>
  </w:abstractNum>
  <w:abstractNum w:abstractNumId="9">
    <w:nsid w:val="799D0247"/>
    <w:multiLevelType w:val="hybridMultilevel"/>
    <w:lvl w:ilvl="0">
      <w:lvlJc w:val="left"/>
      <w:lvlText w:val="(%1)"/>
      <w:numFmt w:val="lowerLetter"/>
      <w:start w:val="9"/>
    </w:lvl>
  </w:abstractNum>
  <w:abstractNum w:abstractNumId="10">
    <w:nsid w:val="6B94764"/>
    <w:multiLevelType w:val="hybridMultilevel"/>
    <w:lvl w:ilvl="0">
      <w:lvlJc w:val="left"/>
      <w:lvlText w:val="(%1)"/>
      <w:numFmt w:val="lowerLetter"/>
      <w:start w:val="13"/>
    </w:lvl>
  </w:abstractNum>
  <w:abstractNum w:abstractNumId="11">
    <w:nsid w:val="42C296BD"/>
    <w:multiLevelType w:val="hybridMultilevel"/>
    <w:lvl w:ilvl="0">
      <w:lvlJc w:val="left"/>
      <w:lvlText w:val="(%1)"/>
      <w:numFmt w:val="lowerLetter"/>
      <w:start w:val="1"/>
    </w:lvl>
  </w:abstractNum>
  <w:abstractNum w:abstractNumId="12">
    <w:nsid w:val="168E121F"/>
    <w:multiLevelType w:val="hybridMultilevel"/>
    <w:lvl w:ilvl="0">
      <w:lvlJc w:val="left"/>
      <w:lvlText w:val="(%1)"/>
      <w:numFmt w:val="lowerLetter"/>
      <w:start w:val="2"/>
    </w:lvl>
  </w:abstractNum>
  <w:abstractNum w:abstractNumId="13">
    <w:nsid w:val="1EBA5D23"/>
    <w:multiLevelType w:val="hybridMultilevel"/>
    <w:lvl w:ilvl="0">
      <w:lvlJc w:val="left"/>
      <w:lvlText w:val="(%1)"/>
      <w:numFmt w:val="lowerLetter"/>
      <w:start w:val="6"/>
    </w:lvl>
  </w:abstractNum>
  <w:abstractNum w:abstractNumId="14">
    <w:nsid w:val="661E3F1E"/>
    <w:multiLevelType w:val="hybridMultilevel"/>
    <w:lvl w:ilvl="0">
      <w:lvlJc w:val="left"/>
      <w:lvlText w:val="(%1)"/>
      <w:numFmt w:val="lowerLetter"/>
      <w:start w:val="15"/>
    </w:lvl>
    <w:lvl w:ilvl="1">
      <w:lvlJc w:val="left"/>
      <w:lvlText w:val="(%2)"/>
      <w:numFmt w:val="lowerRoman"/>
      <w:start w:val="1"/>
    </w:lvl>
  </w:abstractNum>
  <w:abstractNum w:abstractNumId="15">
    <w:nsid w:val="5DC79EA8"/>
    <w:multiLevelType w:val="hybridMultilevel"/>
    <w:lvl w:ilvl="0">
      <w:lvlJc w:val="left"/>
      <w:lvlText w:val="(%1)"/>
      <w:numFmt w:val="lowerLetter"/>
      <w:start w:val="16"/>
    </w:lvl>
  </w:abstractNum>
  <w:abstractNum w:abstractNumId="16">
    <w:nsid w:val="540A471C"/>
    <w:multiLevelType w:val="hybridMultilevel"/>
    <w:lvl w:ilvl="0">
      <w:lvlJc w:val="left"/>
      <w:lvlText w:val="(%1)"/>
      <w:numFmt w:val="lowerLetter"/>
      <w:start w:val="1"/>
    </w:lvl>
  </w:abstractNum>
  <w:abstractNum w:abstractNumId="17">
    <w:nsid w:val="7BD3EE7B"/>
    <w:multiLevelType w:val="hybridMultilevel"/>
    <w:lvl w:ilvl="0">
      <w:lvlJc w:val="left"/>
      <w:lvlText w:val="(%1)"/>
      <w:numFmt w:val="lowerLetter"/>
      <w:start w:val="2"/>
    </w:lvl>
    <w:lvl w:ilvl="1">
      <w:lvlJc w:val="left"/>
      <w:lvlText w:val="(%2)"/>
      <w:numFmt w:val="lowerLetter"/>
      <w:start w:val="9"/>
    </w:lvl>
  </w:abstractNum>
  <w:abstractNum w:abstractNumId="18">
    <w:nsid w:val="51D9C564"/>
    <w:multiLevelType w:val="hybridMultilevel"/>
    <w:lvl w:ilvl="0">
      <w:lvlJc w:val="left"/>
      <w:lvlText w:val="%1"/>
      <w:numFmt w:val="lowerLetter"/>
      <w:start w:val="1"/>
    </w:lvl>
    <w:lvl w:ilvl="1">
      <w:lvlJc w:val="left"/>
      <w:lvlText w:val="(%2)"/>
      <w:numFmt w:val="lowerRoman"/>
      <w:start w:val="2"/>
    </w:lvl>
  </w:abstractNum>
  <w:abstractNum w:abstractNumId="19">
    <w:nsid w:val="613EFDC5"/>
    <w:multiLevelType w:val="hybridMultilevel"/>
    <w:lvl w:ilvl="0">
      <w:lvlJc w:val="left"/>
      <w:lvlText w:val="(%1)"/>
      <w:numFmt w:val="lowerLetter"/>
      <w:start w:val="8"/>
    </w:lvl>
    <w:lvl w:ilvl="1">
      <w:lvlJc w:val="left"/>
      <w:lvlText w:val="%2"/>
      <w:numFmt w:val="lowerRoman"/>
      <w:start w:val="1"/>
    </w:lvl>
  </w:abstractNum>
  <w:abstractNum w:abstractNumId="20">
    <w:nsid w:val="BF72B14"/>
    <w:multiLevelType w:val="hybridMultilevel"/>
    <w:lvl w:ilvl="0">
      <w:lvlJc w:val="left"/>
      <w:lvlText w:val="(%1)"/>
      <w:numFmt w:val="lowerLetter"/>
      <w:start w:val="11"/>
    </w:lvl>
  </w:abstractNum>
  <w:abstractNum w:abstractNumId="21">
    <w:nsid w:val="11447B73"/>
    <w:multiLevelType w:val="hybridMultilevel"/>
    <w:lvl w:ilvl="0">
      <w:lvlJc w:val="left"/>
      <w:lvlText w:val="(%1)"/>
      <w:numFmt w:val="lowerLetter"/>
      <w:start w:val="1"/>
    </w:lvl>
  </w:abstractNum>
  <w:abstractNum w:abstractNumId="22">
    <w:nsid w:val="42963E5A"/>
    <w:multiLevelType w:val="hybridMultilevel"/>
    <w:lvl w:ilvl="0">
      <w:lvlJc w:val="left"/>
      <w:lvlText w:val="(%1)"/>
      <w:numFmt w:val="lowerLetter"/>
      <w:start w:val="1"/>
    </w:lvl>
  </w:abstractNum>
  <w:abstractNum w:abstractNumId="23">
    <w:nsid w:val="A0382C5"/>
    <w:multiLevelType w:val="hybridMultilevel"/>
    <w:lvl w:ilvl="0">
      <w:lvlJc w:val="left"/>
      <w:lvlText w:val="(%1)"/>
      <w:numFmt w:val="lowerLetter"/>
      <w:start w:val="3"/>
    </w:lvl>
  </w:abstractNum>
  <w:abstractNum w:abstractNumId="24">
    <w:nsid w:val="8F2B15E"/>
    <w:multiLevelType w:val="hybridMultilevel"/>
    <w:lvl w:ilvl="0">
      <w:lvlJc w:val="left"/>
      <w:lvlText w:val="(%1)"/>
      <w:numFmt w:val="lowerLetter"/>
      <w:start w:val="1"/>
    </w:lvl>
  </w:abstractNum>
  <w:abstractNum w:abstractNumId="25">
    <w:nsid w:val="1A32234B"/>
    <w:multiLevelType w:val="hybridMultilevel"/>
    <w:lvl w:ilvl="0">
      <w:lvlJc w:val="left"/>
      <w:lvlText w:val="(%1)"/>
      <w:numFmt w:val="lowerLetter"/>
      <w:start w:val="1"/>
    </w:lvl>
    <w:lvl w:ilvl="1">
      <w:lvlJc w:val="left"/>
      <w:lvlText w:val="(%2)"/>
      <w:numFmt w:val="lowerRoman"/>
      <w:start w:val="1"/>
    </w:lvl>
  </w:abstractNum>
  <w:abstractNum w:abstractNumId="26">
    <w:nsid w:val="3B0FD379"/>
    <w:multiLevelType w:val="hybridMultilevel"/>
    <w:lvl w:ilvl="0">
      <w:lvlJc w:val="left"/>
      <w:lvlText w:val="(%1)"/>
      <w:numFmt w:val="lowerLetter"/>
      <w:start w:val="2"/>
    </w:lvl>
    <w:lvl w:ilvl="1">
      <w:lvlJc w:val="left"/>
      <w:lvlText w:val="(%2)"/>
      <w:numFmt w:val="lowerRoman"/>
      <w:start w:val="1"/>
    </w:lvl>
  </w:abstractNum>
  <w:abstractNum w:abstractNumId="27">
    <w:nsid w:val="68EB2F63"/>
    <w:multiLevelType w:val="hybridMultilevel"/>
    <w:lvl w:ilvl="0">
      <w:lvlJc w:val="left"/>
      <w:lvlText w:val="(%1)"/>
      <w:numFmt w:val="lowerLetter"/>
      <w:start w:val="1"/>
    </w:lvl>
    <w:lvl w:ilvl="1">
      <w:lvlJc w:val="left"/>
      <w:lvlText w:val="(%2)"/>
      <w:numFmt w:val="lowerRoman"/>
      <w:start w:val="1"/>
    </w:lvl>
  </w:abstractNum>
  <w:abstractNum w:abstractNumId="28">
    <w:nsid w:val="4962813B"/>
    <w:multiLevelType w:val="hybridMultilevel"/>
    <w:lvl w:ilvl="0">
      <w:lvlJc w:val="left"/>
      <w:lvlText w:val="(%1)"/>
      <w:numFmt w:val="lowerRoman"/>
      <w:start w:val="1"/>
    </w:lvl>
  </w:abstractNum>
  <w:abstractNum w:abstractNumId="29">
    <w:nsid w:val="60B6DF70"/>
    <w:multiLevelType w:val="hybridMultilevel"/>
    <w:lvl w:ilvl="0">
      <w:lvlJc w:val="left"/>
      <w:lvlText w:val="(%1)"/>
      <w:numFmt w:val="lowerLetter"/>
      <w:start w:val="1"/>
    </w:lvl>
  </w:abstractNum>
  <w:abstractNum w:abstractNumId="30">
    <w:nsid w:val="6A5EE64"/>
    <w:multiLevelType w:val="hybridMultilevel"/>
    <w:lvl w:ilvl="0">
      <w:lvlJc w:val="left"/>
      <w:lvlText w:val="(%1)"/>
      <w:numFmt w:val="lowerLetter"/>
      <w:start w:val="3"/>
    </w:lvl>
  </w:abstractNum>
  <w:abstractNum w:abstractNumId="31">
    <w:nsid w:val="14330624"/>
    <w:multiLevelType w:val="hybridMultilevel"/>
    <w:lvl w:ilvl="0">
      <w:lvlJc w:val="left"/>
      <w:lvlText w:val="(%1)"/>
      <w:numFmt w:val="lowerLetter"/>
      <w:start w:val="7"/>
    </w:lvl>
  </w:abstractNum>
  <w:abstractNum w:abstractNumId="32">
    <w:nsid w:val="7FFFCA11"/>
    <w:multiLevelType w:val="hybridMultilevel"/>
    <w:lvl w:ilvl="0">
      <w:lvlJc w:val="left"/>
      <w:lvlText w:val="%1"/>
      <w:numFmt w:val="lowerLetter"/>
      <w:start w:val="1"/>
    </w:lvl>
    <w:lvl w:ilvl="1">
      <w:lvlJc w:val="left"/>
      <w:lvlText w:val="(%2)"/>
      <w:numFmt w:val="lowerLetter"/>
      <w:start w:val="9"/>
    </w:lvl>
  </w:abstractNum>
  <w:abstractNum w:abstractNumId="33">
    <w:nsid w:val="1A27709E"/>
    <w:multiLevelType w:val="hybridMultilevel"/>
    <w:lvl w:ilvl="0">
      <w:lvlJc w:val="left"/>
      <w:lvlText w:val="(%1)"/>
      <w:numFmt w:val="lowerLetter"/>
      <w:start w:val="61"/>
    </w:lvl>
    <w:lvl w:ilvl="1">
      <w:lvlJc w:val="left"/>
      <w:lvlText w:val="(%2)"/>
      <w:numFmt w:val="lowerLetter"/>
      <w:start w:val="10"/>
    </w:lvl>
  </w:abstractNum>
  <w:abstractNum w:abstractNumId="34">
    <w:nsid w:val="71EA1109"/>
    <w:multiLevelType w:val="hybridMultilevel"/>
    <w:lvl w:ilvl="0">
      <w:lvlJc w:val="left"/>
      <w:lvlText w:val="(%1)"/>
      <w:numFmt w:val="lowerLetter"/>
      <w:start w:val="12"/>
    </w:lvl>
  </w:abstractNum>
  <w:abstractNum w:abstractNumId="35">
    <w:nsid w:val="100F59DC"/>
    <w:multiLevelType w:val="hybridMultilevel"/>
    <w:lvl w:ilvl="0">
      <w:lvlJc w:val="left"/>
      <w:lvlText w:val="(%1)"/>
      <w:numFmt w:val="lowerLetter"/>
      <w:start w:val="16"/>
    </w:lvl>
  </w:abstractNum>
  <w:abstractNum w:abstractNumId="36">
    <w:nsid w:val="7FB7E0AA"/>
    <w:multiLevelType w:val="hybridMultilevel"/>
    <w:lvl w:ilvl="0">
      <w:lvlJc w:val="left"/>
      <w:lvlText w:val="(%1)"/>
      <w:numFmt w:val="lowerLetter"/>
      <w:start w:val="20"/>
    </w:lvl>
  </w:abstractNum>
  <w:abstractNum w:abstractNumId="37">
    <w:nsid w:val="6EB5BD4"/>
    <w:multiLevelType w:val="hybridMultilevel"/>
    <w:lvl w:ilvl="0">
      <w:lvlJc w:val="left"/>
      <w:lvlText w:val="(%1)"/>
      <w:numFmt w:val="lowerLetter"/>
      <w:start w:val="26"/>
    </w:lvl>
  </w:abstractNum>
  <w:abstractNum w:abstractNumId="38">
    <w:nsid w:val="6F6DD9AC"/>
    <w:multiLevelType w:val="hybridMultilevel"/>
    <w:lvl w:ilvl="0">
      <w:lvlJc w:val="left"/>
      <w:lvlText w:val="(%1)"/>
      <w:numFmt w:val="lowerLetter"/>
      <w:start w:val="27"/>
    </w:lvl>
  </w:abstractNum>
  <w:abstractNum w:abstractNumId="39">
    <w:nsid w:val="94211F2"/>
    <w:multiLevelType w:val="hybridMultilevel"/>
    <w:lvl w:ilvl="0">
      <w:lvlJc w:val="left"/>
      <w:lvlText w:val="%1"/>
      <w:numFmt w:val="lowerLetter"/>
      <w:start w:val="1"/>
    </w:lvl>
    <w:lvl w:ilvl="1">
      <w:lvlJc w:val="left"/>
      <w:lvlText w:val="(%2)"/>
      <w:numFmt w:val="lowerLetter"/>
      <w:start w:val="30"/>
    </w:lvl>
  </w:abstractNum>
  <w:abstractNum w:abstractNumId="40">
    <w:nsid w:val="885E1B"/>
    <w:multiLevelType w:val="hybridMultilevel"/>
    <w:lvl w:ilvl="0">
      <w:lvlJc w:val="left"/>
      <w:lvlText w:val="(%1)"/>
      <w:numFmt w:val="lowerLetter"/>
      <w:start w:val="61"/>
    </w:lvl>
    <w:lvl w:ilvl="1">
      <w:lvlJc w:val="left"/>
      <w:lvlText w:val="%2"/>
      <w:numFmt w:val="lowerLetter"/>
      <w:start w:val="1"/>
    </w:lvl>
  </w:abstractNum>
  <w:abstractNum w:abstractNumId="41">
    <w:nsid w:val="76272110"/>
    <w:multiLevelType w:val="hybridMultilevel"/>
    <w:lvl w:ilvl="0">
      <w:lvlJc w:val="left"/>
      <w:lvlText w:val="%1"/>
      <w:numFmt w:val="lowerRoman"/>
      <w:start w:val="1"/>
    </w:lvl>
    <w:lvl w:ilvl="1">
      <w:lvlJc w:val="left"/>
      <w:lvlText w:val="(%2)"/>
      <w:numFmt w:val="lowerLetter"/>
      <w:start w:val="34"/>
    </w:lvl>
  </w:abstractNum>
  <w:abstractNum w:abstractNumId="42">
    <w:nsid w:val="4C04A8AF"/>
    <w:multiLevelType w:val="hybridMultilevel"/>
    <w:lvl w:ilvl="0">
      <w:lvlJc w:val="left"/>
      <w:lvlText w:val="(%1)"/>
      <w:numFmt w:val="lowerRoman"/>
      <w:start w:val="6"/>
    </w:lvl>
    <w:lvl w:ilvl="1">
      <w:lvlJc w:val="left"/>
      <w:lvlText w:val="(%2)"/>
      <w:numFmt w:val="lowerLetter"/>
      <w:start w:val="35"/>
    </w:lvl>
  </w:abstractNum>
  <w:abstractNum w:abstractNumId="43">
    <w:nsid w:val="1716703B"/>
    <w:multiLevelType w:val="hybridMultilevel"/>
    <w:lvl w:ilvl="0">
      <w:lvlJc w:val="left"/>
      <w:lvlText w:val="(%1)"/>
      <w:numFmt w:val="lowerLetter"/>
      <w:start w:val="38"/>
    </w:lvl>
  </w:abstractNum>
  <w:abstractNum w:abstractNumId="44">
    <w:nsid w:val="14E17E33"/>
    <w:multiLevelType w:val="hybridMultilevel"/>
    <w:lvl w:ilvl="0">
      <w:lvlJc w:val="left"/>
      <w:lvlText w:val="(%1)"/>
      <w:numFmt w:val="lowerLetter"/>
      <w:start w:val="1"/>
    </w:lvl>
  </w:abstractNum>
  <w:abstractNum w:abstractNumId="45">
    <w:nsid w:val="3222E7CD"/>
    <w:multiLevelType w:val="hybridMultilevel"/>
    <w:lvl w:ilvl="0">
      <w:lvlJc w:val="left"/>
      <w:lvlText w:val="(%1)"/>
      <w:numFmt w:val="lowerLetter"/>
      <w:start w:val="4"/>
    </w:lvl>
  </w:abstractNum>
  <w:abstractNum w:abstractNumId="46">
    <w:nsid w:val="74DE0EE3"/>
    <w:multiLevelType w:val="hybridMultilevel"/>
    <w:lvl w:ilvl="0">
      <w:lvlJc w:val="left"/>
      <w:lvlText w:val="%1"/>
      <w:numFmt w:val="lowerLetter"/>
      <w:start w:val="1"/>
    </w:lvl>
    <w:lvl w:ilvl="1">
      <w:lvlJc w:val="left"/>
      <w:lvlText w:val="(%2)"/>
      <w:numFmt w:val="lowerLetter"/>
      <w:start w:val="1"/>
    </w:lvl>
  </w:abstractNum>
  <w:abstractNum w:abstractNumId="47">
    <w:nsid w:val="68EBC550"/>
    <w:multiLevelType w:val="hybridMultilevel"/>
    <w:lvl w:ilvl="0">
      <w:lvlJc w:val="left"/>
      <w:lvlText w:val="(%1)"/>
      <w:numFmt w:val="lowerLetter"/>
      <w:start w:val="9"/>
    </w:lvl>
    <w:lvl w:ilvl="1">
      <w:lvlJc w:val="left"/>
      <w:lvlText w:val="%2"/>
      <w:numFmt w:val="lowerLetter"/>
      <w:start w:val="1"/>
    </w:lvl>
  </w:abstractNum>
  <w:abstractNum w:abstractNumId="48">
    <w:nsid w:val="2DF6D648"/>
    <w:multiLevelType w:val="hybridMultilevel"/>
    <w:lvl w:ilvl="0">
      <w:lvlJc w:val="left"/>
      <w:lvlText w:val="(%1)"/>
      <w:numFmt w:val="lowerLetter"/>
      <w:start w:val="3"/>
    </w:lvl>
  </w:abstractNum>
  <w:abstractNum w:abstractNumId="49">
    <w:nsid w:val="46B7D447"/>
    <w:multiLevelType w:val="hybridMultilevel"/>
    <w:lvl w:ilvl="0">
      <w:lvlJc w:val="left"/>
      <w:lvlText w:val="☐"/>
      <w:numFmt w:val="bullet"/>
      <w:start w:val="1"/>
    </w:lvl>
  </w:abstractNum>
  <w:abstractNum w:abstractNumId="50">
    <w:nsid w:val="4A2AC315"/>
    <w:multiLevelType w:val="hybridMultilevel"/>
    <w:lvl w:ilvl="0">
      <w:lvlJc w:val="left"/>
      <w:lvlText w:val="(%1)"/>
      <w:numFmt w:val="lowerLetter"/>
      <w:start w:val="25"/>
    </w:lvl>
  </w:abstractNum>
  <w:abstractNum w:abstractNumId="51">
    <w:nsid w:val="39EE015C"/>
    <w:multiLevelType w:val="hybridMultilevel"/>
    <w:lvl w:ilvl="0">
      <w:lvlJc w:val="left"/>
      <w:lvlText w:val="1"/>
      <w:numFmt w:val="bullet"/>
      <w:start w:val="1"/>
    </w:lvl>
  </w:abstractNum>
  <w:abstractNum w:abstractNumId="52">
    <w:nsid w:val="57FC4FBB"/>
    <w:multiLevelType w:val="hybridMultilevel"/>
    <w:lvl w:ilvl="0">
      <w:lvlJc w:val="left"/>
      <w:lvlText w:val="2"/>
      <w:numFmt w:val="bullet"/>
      <w:start w:val="1"/>
    </w:lvl>
  </w:abstractNum>
  <w:abstractNum w:abstractNumId="53">
    <w:nsid w:val="CC1016F"/>
    <w:multiLevelType w:val="hybridMultilevel"/>
    <w:lvl w:ilvl="0">
      <w:lvlJc w:val="left"/>
      <w:lvlText w:val="%1)"/>
      <w:numFmt w:val="lowerLetter"/>
      <w:start w:val="1"/>
    </w:lvl>
  </w:abstractNum>
  <w:abstractNum w:abstractNumId="54">
    <w:nsid w:val="43F18422"/>
    <w:multiLevelType w:val="hybridMultilevel"/>
    <w:lvl w:ilvl="0">
      <w:lvlJc w:val="left"/>
      <w:lvlText w:val="3"/>
      <w:numFmt w:val="bullet"/>
      <w:start w:val="1"/>
    </w:lvl>
  </w:abstractNum>
  <w:abstractNum w:abstractNumId="55">
    <w:nsid w:val="60EF011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56">
    <w:nsid w:val="26F324B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57">
    <w:nsid w:val="7F01579B"/>
    <w:multiLevelType w:val="hybridMultilevel"/>
    <w:lvl w:ilvl="0">
      <w:lvlJc w:val="left"/>
      <w:lvlText w:val="(%1)"/>
      <w:numFmt w:val="upperLetter"/>
      <w:start w:val="24"/>
    </w:lvl>
  </w:abstractNum>
  <w:abstractNum w:abstractNumId="58">
    <w:nsid w:val="49DA307D"/>
    <w:multiLevelType w:val="hybridMultilevel"/>
    <w:lvl w:ilvl="0">
      <w:lvlJc w:val="left"/>
      <w:lvlText w:val="%1)"/>
      <w:numFmt w:val="lowerLetter"/>
      <w:start w:val="4"/>
    </w:lvl>
    <w:lvl w:ilvl="1">
      <w:lvlJc w:val="left"/>
      <w:lvlText w:val="%2."/>
      <w:numFmt w:val="lowerRoman"/>
      <w:start w:val="1"/>
    </w:lvl>
  </w:abstractNum>
  <w:abstractNum w:abstractNumId="59">
    <w:nsid w:val="7055A5F5"/>
    <w:multiLevelType w:val="hybridMultilevel"/>
    <w:lvl w:ilvl="0">
      <w:lvlJc w:val="left"/>
      <w:lvlText w:val="%1."/>
      <w:numFmt w:val="lowerRoman"/>
      <w:start w:val="4"/>
    </w:lvl>
  </w:abstractNum>
  <w:abstractNum w:abstractNumId="60">
    <w:nsid w:val="5FB8370B"/>
    <w:multiLevelType w:val="hybridMultilevel"/>
    <w:lvl w:ilvl="0">
      <w:lvlJc w:val="left"/>
      <w:lvlText w:val="%1)"/>
      <w:numFmt w:val="lowerLetter"/>
      <w:start w:val="5"/>
    </w:lvl>
  </w:abstractNum>
  <w:abstractNum w:abstractNumId="61">
    <w:nsid w:val="50801EE1"/>
    <w:multiLevelType w:val="hybridMultilevel"/>
    <w:lvl w:ilvl="0">
      <w:lvlJc w:val="left"/>
      <w:lvlText w:val="%1)"/>
      <w:numFmt w:val="lowerLetter"/>
      <w:start w:val="1"/>
    </w:lvl>
  </w:abstractNum>
  <w:abstractNum w:abstractNumId="62">
    <w:nsid w:val="488AC1A"/>
    <w:multiLevelType w:val="hybridMultilevel"/>
    <w:lvl w:ilvl="0">
      <w:lvlJc w:val="left"/>
      <w:lvlText w:val="%1)"/>
      <w:numFmt w:val="lowerLetter"/>
      <w:start w:val="5"/>
    </w:lvl>
  </w:abstractNum>
  <w:abstractNum w:abstractNumId="63">
    <w:nsid w:val="5FB8011C"/>
    <w:multiLevelType w:val="hybridMultilevel"/>
    <w:lvl w:ilvl="0">
      <w:lvlJc w:val="left"/>
      <w:lvlText w:val="%1)"/>
      <w:numFmt w:val="lowerLetter"/>
      <w:start w:val="6"/>
    </w:lvl>
    <w:lvl w:ilvl="1">
      <w:lvlJc w:val="left"/>
      <w:lvlText w:val="%2."/>
      <w:numFmt w:val="lowerRoman"/>
      <w:start w:val="1"/>
    </w:lvl>
  </w:abstractNum>
  <w:abstractNum w:abstractNumId="64">
    <w:nsid w:val="6AA78F7F"/>
    <w:multiLevelType w:val="hybridMultilevel"/>
    <w:lvl w:ilvl="0">
      <w:lvlJc w:val="left"/>
      <w:lvlText w:val="%1)"/>
      <w:numFmt w:val="lowerLetter"/>
      <w:start w:val="1"/>
    </w:lvl>
  </w:abstractNum>
  <w:abstractNum w:abstractNumId="65">
    <w:nsid w:val="7672BD23"/>
    <w:multiLevelType w:val="hybridMultilevel"/>
    <w:lvl w:ilvl="0">
      <w:lvlJc w:val="left"/>
      <w:lvlText w:val="%1)"/>
      <w:numFmt w:val="lowerLetter"/>
      <w:start w:val="1"/>
    </w:lvl>
  </w:abstractNum>
  <w:abstractNum w:abstractNumId="66">
    <w:nsid w:val="6FC75AF8"/>
    <w:multiLevelType w:val="hybridMultilevel"/>
    <w:lvl w:ilvl="0">
      <w:lvlJc w:val="left"/>
      <w:lvlText w:val="%1)"/>
      <w:numFmt w:val="lowerLetter"/>
      <w:start w:val="5"/>
    </w:lvl>
  </w:abstractNum>
  <w:abstractNum w:abstractNumId="67">
    <w:nsid w:val="6A5F7029"/>
    <w:multiLevelType w:val="hybridMultilevel"/>
    <w:lvl w:ilvl="0">
      <w:lvlJc w:val="left"/>
      <w:lvlText w:val="(%1)"/>
      <w:numFmt w:val="decimal"/>
      <w:start w:val="1"/>
    </w:lvl>
    <w:lvl w:ilvl="1">
      <w:lvlJc w:val="left"/>
      <w:lvlText w:val="☐"/>
      <w:numFmt w:val="bullet"/>
      <w:start w:val="1"/>
    </w:lvl>
  </w:abstractNum>
  <w:abstractNum w:abstractNumId="68">
    <w:nsid w:val="7D5E18F8"/>
    <w:multiLevelType w:val="hybridMultilevel"/>
    <w:lvl w:ilvl="0">
      <w:lvlJc w:val="left"/>
      <w:lvlText w:val="(%1)"/>
      <w:numFmt w:val="decimal"/>
      <w:start w:val="4"/>
    </w:lvl>
  </w:abstractNum>
  <w:abstractNum w:abstractNumId="69">
    <w:nsid w:val="5F3534A4"/>
    <w:multiLevelType w:val="hybridMultilevel"/>
    <w:lvl w:ilvl="0">
      <w:lvlJc w:val="left"/>
      <w:lvlText w:val="(%1)"/>
      <w:numFmt w:val="lowerLetter"/>
      <w:start w:val="1"/>
    </w:lvl>
  </w:abstractNum>
  <w:abstractNum w:abstractNumId="70">
    <w:nsid w:val="73A1821B"/>
    <w:multiLevelType w:val="hybridMultilevel"/>
    <w:lvl w:ilvl="0">
      <w:lvlJc w:val="left"/>
      <w:lvlText w:val="(%1)"/>
      <w:numFmt w:val="upperLetter"/>
      <w:start w:val="1"/>
    </w:lvl>
  </w:abstractNum>
  <w:abstractNum w:abstractNumId="71">
    <w:nsid w:val="7DE67713"/>
    <w:multiLevelType w:val="hybridMultilevel"/>
    <w:lvl w:ilvl="0">
      <w:lvlJc w:val="left"/>
      <w:lvlText w:val="(%1)"/>
      <w:numFmt w:val="upperLetter"/>
      <w:start w:val="24"/>
    </w:lvl>
  </w:abstractNum>
  <w:abstractNum w:abstractNumId="72">
    <w:nsid w:val="555C55B5"/>
    <w:multiLevelType w:val="hybridMultilevel"/>
    <w:lvl w:ilvl="0">
      <w:lvlJc w:val="left"/>
      <w:lvlText w:val="(%1)"/>
      <w:numFmt w:val="lowerLetter"/>
      <w:start w:val="4"/>
    </w:lvl>
    <w:lvl w:ilvl="1">
      <w:lvlJc w:val="left"/>
      <w:lvlText w:val="(%2)"/>
      <w:numFmt w:val="lowerRoman"/>
      <w:start w:val="1"/>
    </w:lvl>
  </w:abstractNum>
  <w:abstractNum w:abstractNumId="73">
    <w:nsid w:val="3FA62ACA"/>
    <w:multiLevelType w:val="hybridMultilevel"/>
    <w:lvl w:ilvl="0">
      <w:lvlJc w:val="left"/>
      <w:lvlText w:val="(%1)"/>
      <w:numFmt w:val="lowerRoman"/>
      <w:start w:val="4"/>
    </w:lvl>
  </w:abstractNum>
  <w:abstractNum w:abstractNumId="74">
    <w:nsid w:val="14FCE74E"/>
    <w:multiLevelType w:val="hybridMultilevel"/>
    <w:lvl w:ilvl="0">
      <w:lvlJc w:val="left"/>
      <w:lvlText w:val="(%1)"/>
      <w:numFmt w:val="lowerLetter"/>
      <w:start w:val="5"/>
    </w:lvl>
  </w:abstractNum>
  <w:abstractNum w:abstractNumId="75">
    <w:nsid w:val="6A3DD3E8"/>
    <w:multiLevelType w:val="hybridMultilevel"/>
    <w:lvl w:ilvl="0">
      <w:lvlJc w:val="left"/>
      <w:lvlText w:val="(%1)"/>
      <w:numFmt w:val="lowerLetter"/>
      <w:start w:val="1"/>
    </w:lvl>
  </w:abstractNum>
  <w:abstractNum w:abstractNumId="76">
    <w:nsid w:val="71C91298"/>
    <w:multiLevelType w:val="hybridMultilevel"/>
    <w:lvl w:ilvl="0">
      <w:lvlJc w:val="left"/>
      <w:lvlText w:val="(%1)"/>
      <w:numFmt w:val="lowerLetter"/>
      <w:start w:val="2"/>
    </w:lvl>
  </w:abstractNum>
  <w:abstractNum w:abstractNumId="77">
    <w:nsid w:val="9DAF632"/>
    <w:multiLevelType w:val="hybridMultilevel"/>
    <w:lvl w:ilvl="0">
      <w:lvlJc w:val="left"/>
      <w:lvlText w:val="(%1)"/>
      <w:numFmt w:val="lowerLetter"/>
      <w:start w:val="5"/>
    </w:lvl>
  </w:abstractNum>
  <w:abstractNum w:abstractNumId="78">
    <w:nsid w:val="53299938"/>
    <w:multiLevelType w:val="hybridMultilevel"/>
    <w:lvl w:ilvl="0">
      <w:lvlJc w:val="left"/>
      <w:lvlText w:val="(%1)"/>
      <w:numFmt w:val="lowerRoman"/>
      <w:start w:val="1"/>
    </w:lvl>
  </w:abstractNum>
  <w:abstractNum w:abstractNumId="79">
    <w:nsid w:val="1FBFE8E0"/>
    <w:multiLevelType w:val="hybridMultilevel"/>
    <w:lvl w:ilvl="0">
      <w:lvlJc w:val="left"/>
      <w:lvlText w:val="(%1)"/>
      <w:numFmt w:val="lowerRoman"/>
      <w:start w:val="2"/>
    </w:lvl>
  </w:abstractNum>
  <w:abstractNum w:abstractNumId="80">
    <w:nsid w:val="5092CA79"/>
    <w:multiLevelType w:val="hybridMultilevel"/>
    <w:lvl w:ilvl="0">
      <w:lvlJc w:val="left"/>
      <w:lvlText w:val="(%1)"/>
      <w:numFmt w:val="lowerLetter"/>
      <w:start w:val="1"/>
    </w:lvl>
  </w:abstractNum>
  <w:abstractNum w:abstractNumId="81">
    <w:nsid w:val="1D545C4D"/>
    <w:multiLevelType w:val="hybridMultilevel"/>
    <w:lvl w:ilvl="0">
      <w:lvlJc w:val="left"/>
      <w:lvlText w:val="(%1)"/>
      <w:numFmt w:val="lowerLetter"/>
      <w:start w:val="3"/>
    </w:lvl>
  </w:abstractNum>
  <w:abstractNum w:abstractNumId="82">
    <w:nsid w:val="59ADEA3D"/>
    <w:multiLevelType w:val="hybridMultilevel"/>
    <w:lvl w:ilvl="0">
      <w:lvlJc w:val="left"/>
      <w:lvlText w:val="%1"/>
      <w:numFmt w:val="decimal"/>
      <w:start w:val="1"/>
    </w:lvl>
    <w:lvl w:ilvl="1">
      <w:lvlJc w:val="left"/>
      <w:lvlText w:val="(%2)"/>
      <w:numFmt w:val="lowerLetter"/>
      <w:start w:val="1"/>
    </w:lvl>
  </w:abstractNum>
  <w:abstractNum w:abstractNumId="83">
    <w:nsid w:val="288F1A34"/>
    <w:multiLevelType w:val="hybridMultilevel"/>
    <w:lvl w:ilvl="0">
      <w:lvlJc w:val="left"/>
      <w:lvlText w:val="%1."/>
      <w:numFmt w:val="decimal"/>
      <w:start w:val="3"/>
    </w:lvl>
    <w:lvl w:ilvl="1">
      <w:lvlJc w:val="left"/>
      <w:lvlText w:val="(%2)"/>
      <w:numFmt w:val="lowerLetter"/>
      <w:start w:val="2"/>
    </w:lvl>
  </w:abstractNum>
  <w:abstractNum w:abstractNumId="84">
    <w:nsid w:val="2A155DBC"/>
    <w:multiLevelType w:val="hybridMultilevel"/>
    <w:lvl w:ilvl="0">
      <w:lvlJc w:val="left"/>
      <w:lvlText w:val="(%1)"/>
      <w:numFmt w:val="lowerLetter"/>
      <w:start w:val="6"/>
    </w:lvl>
  </w:abstractNum>
  <w:abstractNum w:abstractNumId="85">
    <w:nsid w:val="1D9F6E5F"/>
    <w:multiLevelType w:val="hybridMultilevel"/>
    <w:lvl w:ilvl="0">
      <w:lvlJc w:val="left"/>
      <w:lvlText w:val="(%1)"/>
      <w:numFmt w:val="decimal"/>
      <w:start w:val="1"/>
    </w:lvl>
    <w:lvl w:ilvl="1">
      <w:lvlJc w:val="left"/>
      <w:lvlText w:val="☐"/>
      <w:numFmt w:val="bullet"/>
      <w:start w:val="1"/>
    </w:lvl>
  </w:abstractNum>
  <w:abstractNum w:abstractNumId="86">
    <w:nsid w:val="97E1B4E"/>
    <w:multiLevelType w:val="hybridMultilevel"/>
    <w:lvl w:ilvl="0">
      <w:lvlJc w:val="left"/>
      <w:lvlText w:val="%1."/>
      <w:numFmt w:val="decimal"/>
      <w:start w:val="1"/>
    </w:lvl>
    <w:lvl w:ilvl="1">
      <w:lvlJc w:val="left"/>
      <w:lvlText w:val="(%2)"/>
      <w:numFmt w:val="lowerLetter"/>
      <w:start w:val="1"/>
    </w:lvl>
  </w:abstractNum>
  <w:abstractNum w:abstractNumId="87">
    <w:nsid w:val="51088277"/>
    <w:multiLevelType w:val="hybridMultilevel"/>
    <w:lvl w:ilvl="0">
      <w:lvlJc w:val="left"/>
      <w:lvlText w:val="1"/>
      <w:numFmt w:val="bullet"/>
      <w:start w:val="1"/>
    </w:lvl>
  </w:abstractNum>
  <w:abstractNum w:abstractNumId="88">
    <w:nsid w:val="1CA0C5FA"/>
    <w:multiLevelType w:val="hybridMultilevel"/>
    <w:lvl w:ilvl="0">
      <w:lvlJc w:val="left"/>
      <w:lvlText w:val="(%1)"/>
      <w:numFmt w:val="lowerLetter"/>
      <w:start w:val="2"/>
    </w:lvl>
  </w:abstractNum>
  <w:abstractNum w:abstractNumId="89">
    <w:nsid w:val="53584BCB"/>
    <w:multiLevelType w:val="hybridMultilevel"/>
    <w:lvl w:ilvl="0">
      <w:lvlJc w:val="left"/>
      <w:lvlText w:val="(%1)"/>
      <w:numFmt w:val="lowerLetter"/>
      <w:start w:val="25"/>
    </w:lvl>
  </w:abstractNum>
  <w:abstractNum w:abstractNumId="90">
    <w:nsid w:val="415E286C"/>
    <w:multiLevelType w:val="hybridMultilevel"/>
    <w:lvl w:ilvl="0">
      <w:lvlJc w:val="left"/>
      <w:lvlText w:val="2"/>
      <w:numFmt w:val="bullet"/>
      <w:start w:val="1"/>
    </w:lvl>
  </w:abstractNum>
  <w:abstractNum w:abstractNumId="91">
    <w:nsid w:val="7C58FD05"/>
    <w:multiLevelType w:val="hybridMultilevel"/>
    <w:lvl w:ilvl="0">
      <w:lvlJc w:val="left"/>
      <w:lvlText w:val="(%1)"/>
      <w:numFmt w:val="lowerLetter"/>
      <w:start w:val="4"/>
    </w:lvl>
    <w:lvl w:ilvl="1">
      <w:lvlJc w:val="left"/>
      <w:lvlText w:val="(%2)"/>
      <w:numFmt w:val="decimal"/>
      <w:start w:val="1"/>
    </w:lvl>
  </w:abstractNum>
  <w:abstractNum w:abstractNumId="92">
    <w:nsid w:val="23D86AAC"/>
    <w:multiLevelType w:val="hybridMultilevel"/>
    <w:lvl w:ilvl="0">
      <w:lvlJc w:val="left"/>
      <w:lvlText w:val="(%1)"/>
      <w:numFmt w:val="decimal"/>
      <w:start w:val="3"/>
    </w:lvl>
  </w:abstractNum>
  <w:abstractNum w:abstractNumId="93">
    <w:nsid w:val="45E6D486"/>
    <w:multiLevelType w:val="hybridMultilevel"/>
    <w:lvl w:ilvl="0">
      <w:lvlJc w:val="left"/>
      <w:lvlText w:val="(%1)"/>
      <w:numFmt w:val="lowerLetter"/>
      <w:start w:val="6"/>
    </w:lvl>
  </w:abstractNum>
  <w:abstractNum w:abstractNumId="94">
    <w:nsid w:val="5C10FE21"/>
    <w:multiLevelType w:val="hybridMultilevel"/>
    <w:lvl w:ilvl="0">
      <w:lvlJc w:val="left"/>
      <w:lvlText w:val="(%1)"/>
      <w:numFmt w:val="lowerLetter"/>
      <w:start w:val="8"/>
    </w:lvl>
    <w:lvl w:ilvl="1">
      <w:lvlJc w:val="left"/>
      <w:lvlText w:val="(%2)"/>
      <w:numFmt w:val="upperLetter"/>
      <w:start w:val="1"/>
    </w:lvl>
  </w:abstractNum>
  <w:abstractNum w:abstractNumId="95">
    <w:nsid w:val="E7FFA2B"/>
    <w:multiLevelType w:val="hybridMultilevel"/>
    <w:lvl w:ilvl="0">
      <w:lvlJc w:val="left"/>
      <w:lvlText w:val="(%1)"/>
      <w:numFmt w:val="upperLetter"/>
      <w:start w:val="24"/>
    </w:lvl>
  </w:abstractNum>
  <w:abstractNum w:abstractNumId="96">
    <w:nsid w:val="3C5991AA"/>
    <w:multiLevelType w:val="hybridMultilevel"/>
    <w:lvl w:ilvl="0">
      <w:lvlJc w:val="left"/>
      <w:lvlText w:val="%1."/>
      <w:numFmt w:val="decimal"/>
      <w:start w:val="2"/>
    </w:lvl>
    <w:lvl w:ilvl="1">
      <w:lvlJc w:val="left"/>
      <w:lvlText w:val="(%2)"/>
      <w:numFmt w:val="lowerLetter"/>
      <w:start w:val="1"/>
    </w:lvl>
  </w:abstractNum>
  <w:abstractNum w:abstractNumId="97">
    <w:nsid w:val="4BD8591A"/>
    <w:multiLevelType w:val="hybridMultilevel"/>
    <w:lvl w:ilvl="0">
      <w:lvlJc w:val="left"/>
      <w:lvlText w:val="%1"/>
      <w:numFmt w:val="decimal"/>
      <w:start w:val="1"/>
    </w:lvl>
    <w:lvl w:ilvl="1">
      <w:lvlJc w:val="left"/>
      <w:lvlText w:val="(%2)"/>
      <w:numFmt w:val="lowerLetter"/>
      <w:start w:val="3"/>
    </w:lvl>
  </w:abstractNum>
  <w:abstractNum w:abstractNumId="98">
    <w:nsid w:val="78DF6A55"/>
    <w:multiLevelType w:val="hybridMultilevel"/>
    <w:lvl w:ilvl="0">
      <w:lvlJc w:val="left"/>
      <w:lvlText w:val="%1."/>
      <w:numFmt w:val="decimal"/>
      <w:start w:val="3"/>
    </w:lvl>
    <w:lvl w:ilvl="1">
      <w:lvlJc w:val="left"/>
      <w:lvlText w:val="(%2)"/>
      <w:numFmt w:val="lowerLetter"/>
      <w:start w:val="1"/>
    </w:lvl>
  </w:abstractNum>
  <w:abstractNum w:abstractNumId="99">
    <w:nsid w:val="39B7AAA2"/>
    <w:multiLevelType w:val="hybridMultilevel"/>
    <w:lvl w:ilvl="0">
      <w:lvlJc w:val="left"/>
      <w:lvlText w:val="(%1)"/>
      <w:numFmt w:val="lowerLetter"/>
      <w:start w:val="2"/>
    </w:lvl>
  </w:abstractNum>
  <w:abstractNum w:abstractNumId="100">
    <w:nsid w:val="2B0D8DB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1">
    <w:nsid w:val="6C80EC70"/>
    <w:multiLevelType w:val="hybridMultilevel"/>
    <w:lvl w:ilvl="0">
      <w:lvlJc w:val="left"/>
      <w:lvlText w:val="%1"/>
      <w:numFmt w:val="lowerLetter"/>
      <w:start w:val="1"/>
    </w:lvl>
    <w:lvl w:ilvl="1">
      <w:lvlJc w:val="left"/>
      <w:lvlText w:val="(%2)"/>
      <w:numFmt w:val="lowerLetter"/>
      <w:start w:val="2"/>
    </w:lvl>
  </w:abstractNum>
  <w:abstractNum w:abstractNumId="102">
    <w:nsid w:val="379E21B5"/>
    <w:multiLevelType w:val="hybridMultilevel"/>
    <w:lvl w:ilvl="0">
      <w:lvlJc w:val="left"/>
      <w:lvlText w:val="(%1)"/>
      <w:numFmt w:val="lowerLetter"/>
      <w:start w:val="9"/>
    </w:lvl>
    <w:lvl w:ilvl="1">
      <w:lvlJc w:val="left"/>
      <w:lvlText w:val="(%2)"/>
      <w:numFmt w:val="lowerLetter"/>
      <w:start w:val="5"/>
    </w:lvl>
  </w:abstractNum>
  <w:abstractNum w:abstractNumId="103">
    <w:nsid w:val="69E373"/>
    <w:multiLevelType w:val="hybridMultilevel"/>
    <w:lvl w:ilvl="0">
      <w:lvlJc w:val="left"/>
      <w:lvlText w:val="%1."/>
      <w:numFmt w:val="decimal"/>
      <w:start w:val="8"/>
    </w:lvl>
  </w:abstractNum>
  <w:abstractNum w:abstractNumId="104">
    <w:nsid w:val="2C27173B"/>
    <w:multiLevelType w:val="hybridMultilevel"/>
    <w:lvl w:ilvl="0">
      <w:lvlJc w:val="left"/>
      <w:lvlText w:val="%1."/>
      <w:numFmt w:val="decimal"/>
      <w:start w:val="10"/>
    </w:lvl>
  </w:abstractNum>
  <w:abstractNum w:abstractNumId="105">
    <w:nsid w:val="4C9B0904"/>
    <w:multiLevelType w:val="hybridMultilevel"/>
    <w:lvl w:ilvl="0">
      <w:lvlJc w:val="left"/>
      <w:lvlText w:val="%1."/>
      <w:numFmt w:val="decimal"/>
      <w:start w:val="12"/>
    </w:lvl>
  </w:abstractNum>
  <w:abstractNum w:abstractNumId="106">
    <w:nsid w:val="6AA7B75C"/>
    <w:multiLevelType w:val="hybridMultilevel"/>
    <w:lvl w:ilvl="0">
      <w:lvlJc w:val="left"/>
      <w:lvlText w:val="%1."/>
      <w:numFmt w:val="decimal"/>
      <w:start w:val="15"/>
    </w:lvl>
    <w:lvl w:ilvl="1">
      <w:lvlJc w:val="left"/>
      <w:lvlText w:val="(%2)"/>
      <w:numFmt w:val="lowerLetter"/>
      <w:start w:val="1"/>
    </w:lvl>
  </w:abstractNum>
  <w:abstractNum w:abstractNumId="107">
    <w:nsid w:val="1DF029D3"/>
    <w:multiLevelType w:val="hybridMultilevel"/>
    <w:lvl w:ilvl="0">
      <w:lvlJc w:val="left"/>
      <w:lvlText w:val="(%1)"/>
      <w:numFmt w:val="lowerLetter"/>
      <w:start w:val="3"/>
    </w:lvl>
  </w:abstractNum>
  <w:abstractNum w:abstractNumId="108">
    <w:nsid w:val="5675FF36"/>
    <w:multiLevelType w:val="hybridMultilevel"/>
    <w:lvl w:ilvl="0">
      <w:lvlJc w:val="left"/>
      <w:lvlText w:val="3"/>
      <w:numFmt w:val="bullet"/>
      <w:start w:val="1"/>
    </w:lvl>
  </w:abstractNum>
  <w:abstractNum w:abstractNumId="109">
    <w:nsid w:val="3DD15094"/>
    <w:multiLevelType w:val="hybridMultilevel"/>
    <w:lvl w:ilvl="0">
      <w:lvlJc w:val="left"/>
      <w:lvlText w:val="%1."/>
      <w:numFmt w:val="decimal"/>
      <w:start w:val="1"/>
    </w:lvl>
  </w:abstractNum>
  <w:abstractNum w:abstractNumId="110">
    <w:nsid w:val="3DB012B3"/>
    <w:multiLevelType w:val="hybridMultilevel"/>
    <w:lvl w:ilvl="0">
      <w:lvlJc w:val="left"/>
      <w:lvlText w:val="%1."/>
      <w:numFmt w:val="decimal"/>
      <w:start w:val="1"/>
    </w:lvl>
  </w:abstractNum>
  <w:abstractNum w:abstractNumId="111">
    <w:nsid w:val="2708C9AF"/>
    <w:multiLevelType w:val="hybridMultilevel"/>
    <w:lvl w:ilvl="0">
      <w:lvlJc w:val="left"/>
      <w:lvlText w:val="%1."/>
      <w:numFmt w:val="decimal"/>
      <w:start w:val="5"/>
    </w:lvl>
  </w:abstractNum>
  <w:abstractNum w:abstractNumId="112">
    <w:nsid w:val="5B25ACE2"/>
    <w:multiLevelType w:val="hybridMultilevel"/>
    <w:lvl w:ilvl="0">
      <w:lvlJc w:val="left"/>
      <w:lvlText w:val="%1."/>
      <w:numFmt w:val="decimal"/>
      <w:start w:val="6"/>
    </w:lvl>
    <w:lvl w:ilvl="1">
      <w:lvlJc w:val="left"/>
      <w:lvlText w:val="%2."/>
      <w:numFmt w:val="lowerLetter"/>
      <w:start w:val="1"/>
    </w:lvl>
  </w:abstractNum>
  <w:abstractNum w:abstractNumId="113">
    <w:nsid w:val="175DFCF0"/>
    <w:multiLevelType w:val="hybridMultilevel"/>
    <w:lvl w:ilvl="0">
      <w:lvlJc w:val="left"/>
      <w:lvlText w:val="%1."/>
      <w:numFmt w:val="decimal"/>
      <w:start w:val="1"/>
    </w:lvl>
    <w:lvl w:ilvl="1">
      <w:lvlJc w:val="left"/>
      <w:lvlText w:val="(%2)"/>
      <w:numFmt w:val="lowerLetter"/>
      <w:start w:val="2"/>
    </w:lvl>
  </w:abstractNum>
  <w:abstractNum w:abstractNumId="114">
    <w:nsid w:val="4F97E3E4"/>
    <w:multiLevelType w:val="hybridMultilevel"/>
    <w:lvl w:ilvl="0">
      <w:lvlJc w:val="left"/>
      <w:lvlText w:val="(%1)"/>
      <w:numFmt w:val="lowerLetter"/>
      <w:start w:val="3"/>
    </w:lvl>
  </w:abstractNum>
  <w:abstractNum w:abstractNumId="115">
    <w:nsid w:val="53B0A9E"/>
    <w:multiLevelType w:val="hybridMultilevel"/>
    <w:lvl w:ilvl="0">
      <w:lvlJc w:val="left"/>
      <w:lvlText w:val="(%1)"/>
      <w:numFmt w:val="lowerLetter"/>
      <w:start w:val="2"/>
    </w:lvl>
  </w:abstractNum>
  <w:abstractNum w:abstractNumId="116">
    <w:nsid w:val="34FD6B4F"/>
    <w:multiLevelType w:val="hybridMultilevel"/>
    <w:lvl w:ilvl="0">
      <w:lvlJc w:val="left"/>
      <w:lvlText w:val="(%1)"/>
      <w:numFmt w:val="lowerLetter"/>
      <w:start w:val="1"/>
    </w:lvl>
  </w:abstractNum>
  <w:abstractNum w:abstractNumId="117">
    <w:nsid w:val="5915FF32"/>
    <w:multiLevelType w:val="hybridMultilevel"/>
    <w:lvl w:ilvl="0">
      <w:lvlJc w:val="left"/>
      <w:lvlText w:val="(%1)"/>
      <w:numFmt w:val="lowerLetter"/>
      <w:start w:val="3"/>
    </w:lvl>
  </w:abstractNum>
  <w:abstractNum w:abstractNumId="118">
    <w:nsid w:val="56438D15"/>
    <w:multiLevelType w:val="hybridMultilevel"/>
    <w:lvl w:ilvl="0">
      <w:lvlJc w:val="left"/>
      <w:lvlText w:val="(%1)"/>
      <w:numFmt w:val="lowerLetter"/>
      <w:start w:val="1"/>
    </w:lvl>
  </w:abstractNum>
  <w:abstractNum w:abstractNumId="119">
    <w:nsid w:val="519E3149"/>
    <w:multiLevelType w:val="hybridMultilevel"/>
    <w:lvl w:ilvl="0">
      <w:lvlJc w:val="left"/>
      <w:lvlText w:val="(%1)"/>
      <w:numFmt w:val="lowerLetter"/>
      <w:start w:val="4"/>
    </w:lvl>
  </w:abstractNum>
  <w:abstractNum w:abstractNumId="120">
    <w:nsid w:val="2C6E4AFD"/>
    <w:multiLevelType w:val="hybridMultilevel"/>
    <w:lvl w:ilvl="0">
      <w:lvlJc w:val="left"/>
      <w:lvlText w:val="(%1)"/>
      <w:numFmt w:val="lowerLetter"/>
      <w:start w:val="1"/>
    </w:lvl>
  </w:abstractNum>
  <w:abstractNum w:abstractNumId="121">
    <w:nsid w:val="17A1B582"/>
    <w:multiLevelType w:val="hybridMultilevel"/>
    <w:lvl w:ilvl="0">
      <w:lvlJc w:val="left"/>
      <w:lvlText w:val="(%1)"/>
      <w:numFmt w:val="lowerLetter"/>
      <w:start w:val="1"/>
    </w:lvl>
  </w:abstractNum>
  <w:abstractNum w:abstractNumId="122">
    <w:nsid w:val="4DF72E4E"/>
    <w:multiLevelType w:val="hybridMultilevel"/>
    <w:lvl w:ilvl="0">
      <w:lvlJc w:val="left"/>
      <w:lvlText w:val="(%1)"/>
      <w:numFmt w:val="lowerLetter"/>
      <w:start w:val="1"/>
    </w:lvl>
  </w:abstractNum>
  <w:abstractNum w:abstractNumId="123">
    <w:nsid w:val="5046B5A9"/>
    <w:multiLevelType w:val="hybridMultilevel"/>
    <w:lvl w:ilvl="0">
      <w:lvlJc w:val="left"/>
      <w:lvlText w:val="(%1)"/>
      <w:numFmt w:val="lowerLetter"/>
      <w:start w:val="2"/>
    </w:lvl>
  </w:abstractNum>
  <w:abstractNum w:abstractNumId="124">
    <w:nsid w:val="5D888A08"/>
    <w:multiLevelType w:val="hybridMultilevel"/>
    <w:lvl w:ilvl="0">
      <w:lvlJc w:val="left"/>
      <w:lvlText w:val="(%1)"/>
      <w:numFmt w:val="lowerLetter"/>
      <w:start w:val="1"/>
    </w:lvl>
  </w:abstractNum>
  <w:abstractNum w:abstractNumId="125">
    <w:nsid w:val="2A082C70"/>
    <w:multiLevelType w:val="hybridMultilevel"/>
    <w:lvl w:ilvl="0">
      <w:lvlJc w:val="left"/>
      <w:lvlText w:val="(%1)"/>
      <w:numFmt w:val="lowerLetter"/>
      <w:start w:val="6"/>
    </w:lvl>
  </w:abstractNum>
  <w:abstractNum w:abstractNumId="126">
    <w:nsid w:val="5EC6AFD4"/>
    <w:multiLevelType w:val="hybridMultilevel"/>
    <w:lvl w:ilvl="0">
      <w:lvlJc w:val="left"/>
      <w:lvlText w:val="(%1)"/>
      <w:numFmt w:val="lowerLetter"/>
      <w:start w:val="1"/>
    </w:lvl>
  </w:abstractNum>
  <w:abstractNum w:abstractNumId="127">
    <w:nsid w:val="19E21BB2"/>
    <w:multiLevelType w:val="hybridMultilevel"/>
    <w:lvl w:ilvl="0">
      <w:lvlJc w:val="left"/>
      <w:lvlText w:val="(%1)"/>
      <w:numFmt w:val="lowerLetter"/>
      <w:start w:val="3"/>
    </w:lvl>
  </w:abstractNum>
  <w:abstractNum w:abstractNumId="128">
    <w:nsid w:val="75E0858A"/>
    <w:multiLevelType w:val="hybridMultilevel"/>
    <w:lvl w:ilvl="0">
      <w:lvlJc w:val="left"/>
      <w:lvlText w:val="(%1)"/>
      <w:numFmt w:val="lowerLetter"/>
      <w:start w:val="1"/>
    </w:lvl>
  </w:abstractNum>
  <w:abstractNum w:abstractNumId="129">
    <w:nsid w:val="57A61A29"/>
    <w:multiLevelType w:val="hybridMultilevel"/>
    <w:lvl w:ilvl="0">
      <w:lvlJc w:val="left"/>
      <w:lvlText w:val="(%1)"/>
      <w:numFmt w:val="lowerLetter"/>
      <w:start w:val="2"/>
    </w:lvl>
  </w:abstractNum>
  <w:abstractNum w:abstractNumId="130">
    <w:nsid w:val="5399C654"/>
    <w:multiLevelType w:val="hybridMultilevel"/>
    <w:lvl w:ilvl="0">
      <w:lvlJc w:val="left"/>
      <w:lvlText w:val="%1."/>
      <w:numFmt w:val="decimal"/>
      <w:start w:val="1"/>
    </w:lvl>
  </w:abstractNum>
  <w:abstractNum w:abstractNumId="131">
    <w:nsid w:val="20EE13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7" Type="http://schemas.openxmlformats.org/officeDocument/2006/relationships/image" Target="media/image8.png"/><Relationship Id="rId56" Type="http://schemas.openxmlformats.org/officeDocument/2006/relationships/image" Target="media/image9.png"/><Relationship Id="rId75" Type="http://schemas.openxmlformats.org/officeDocument/2006/relationships/image" Target="media/image10.png"/><Relationship Id="rId76" Type="http://schemas.openxmlformats.org/officeDocument/2006/relationships/image" Target="media/image11.png"/><Relationship Id="rId77" Type="http://schemas.openxmlformats.org/officeDocument/2006/relationships/image" Target="media/image12.png"/><Relationship Id="rId78" Type="http://schemas.openxmlformats.org/officeDocument/2006/relationships/image" Target="media/image13.png"/><Relationship Id="rId79" Type="http://schemas.openxmlformats.org/officeDocument/2006/relationships/image" Target="media/image14.png"/><Relationship Id="rId80" Type="http://schemas.openxmlformats.org/officeDocument/2006/relationships/image" Target="media/image15.png"/><Relationship Id="rId81" Type="http://schemas.openxmlformats.org/officeDocument/2006/relationships/image" Target="media/image16.png"/><Relationship Id="rId82" Type="http://schemas.openxmlformats.org/officeDocument/2006/relationships/image" Target="media/image17.png"/><Relationship Id="rId83" Type="http://schemas.openxmlformats.org/officeDocument/2006/relationships/image" Target="media/image18.png"/><Relationship Id="rId84" Type="http://schemas.openxmlformats.org/officeDocument/2006/relationships/image" Target="media/image19.png"/><Relationship Id="rId85" Type="http://schemas.openxmlformats.org/officeDocument/2006/relationships/image" Target="media/image20.png"/><Relationship Id="rId86" Type="http://schemas.openxmlformats.org/officeDocument/2006/relationships/image" Target="media/image21.png"/><Relationship Id="rId87" Type="http://schemas.openxmlformats.org/officeDocument/2006/relationships/image" Target="media/image22.png"/><Relationship Id="rId88" Type="http://schemas.openxmlformats.org/officeDocument/2006/relationships/image" Target="media/image23.png"/><Relationship Id="rId89" Type="http://schemas.openxmlformats.org/officeDocument/2006/relationships/image" Target="media/image24.png"/><Relationship Id="rId90" Type="http://schemas.openxmlformats.org/officeDocument/2006/relationships/image" Target="media/image25.png"/><Relationship Id="rId91" Type="http://schemas.openxmlformats.org/officeDocument/2006/relationships/image" Target="media/image26.png"/><Relationship Id="rId92" Type="http://schemas.openxmlformats.org/officeDocument/2006/relationships/image" Target="media/image27.png"/><Relationship Id="rId93" Type="http://schemas.openxmlformats.org/officeDocument/2006/relationships/image" Target="media/image28.png"/><Relationship Id="rId94" Type="http://schemas.openxmlformats.org/officeDocument/2006/relationships/image" Target="media/image29.png"/><Relationship Id="rId95" Type="http://schemas.openxmlformats.org/officeDocument/2006/relationships/image" Target="media/image30.png"/><Relationship Id="rId96" Type="http://schemas.openxmlformats.org/officeDocument/2006/relationships/image" Target="media/image31.png"/><Relationship Id="rId97" Type="http://schemas.openxmlformats.org/officeDocument/2006/relationships/image" Target="media/image32.png"/><Relationship Id="rId98" Type="http://schemas.openxmlformats.org/officeDocument/2006/relationships/image" Target="media/image33.png"/><Relationship Id="rId99" Type="http://schemas.openxmlformats.org/officeDocument/2006/relationships/image" Target="media/image34.png"/><Relationship Id="rId100" Type="http://schemas.openxmlformats.org/officeDocument/2006/relationships/image" Target="media/image35.png"/><Relationship Id="rId101" Type="http://schemas.openxmlformats.org/officeDocument/2006/relationships/image" Target="media/image36.png"/><Relationship Id="rId102" Type="http://schemas.openxmlformats.org/officeDocument/2006/relationships/image" Target="media/image37.png"/><Relationship Id="rId103" Type="http://schemas.openxmlformats.org/officeDocument/2006/relationships/image" Target="media/image38.png"/><Relationship Id="rId104" Type="http://schemas.openxmlformats.org/officeDocument/2006/relationships/image" Target="media/image39.png"/><Relationship Id="rId105" Type="http://schemas.openxmlformats.org/officeDocument/2006/relationships/image" Target="media/image40.png"/><Relationship Id="rId106" Type="http://schemas.openxmlformats.org/officeDocument/2006/relationships/image" Target="media/image41.png"/><Relationship Id="rId107" Type="http://schemas.openxmlformats.org/officeDocument/2006/relationships/image" Target="media/image42.png"/><Relationship Id="rId108" Type="http://schemas.openxmlformats.org/officeDocument/2006/relationships/image" Target="media/image43.png"/><Relationship Id="rId109" Type="http://schemas.openxmlformats.org/officeDocument/2006/relationships/image" Target="media/image44.png"/><Relationship Id="rId110" Type="http://schemas.openxmlformats.org/officeDocument/2006/relationships/image" Target="media/image45.png"/><Relationship Id="rId111" Type="http://schemas.openxmlformats.org/officeDocument/2006/relationships/image" Target="media/image46.png"/><Relationship Id="rId112" Type="http://schemas.openxmlformats.org/officeDocument/2006/relationships/image" Target="media/image47.png"/><Relationship Id="rId113" Type="http://schemas.openxmlformats.org/officeDocument/2006/relationships/image" Target="media/image48.png"/><Relationship Id="rId114" Type="http://schemas.openxmlformats.org/officeDocument/2006/relationships/image" Target="media/image49.png"/><Relationship Id="rId115" Type="http://schemas.openxmlformats.org/officeDocument/2006/relationships/image" Target="media/image50.png"/><Relationship Id="rId116" Type="http://schemas.openxmlformats.org/officeDocument/2006/relationships/image" Target="media/image51.png"/><Relationship Id="rId117" Type="http://schemas.openxmlformats.org/officeDocument/2006/relationships/image" Target="media/image52.png"/><Relationship Id="rId118" Type="http://schemas.openxmlformats.org/officeDocument/2006/relationships/image" Target="media/image53.png"/><Relationship Id="rId119" Type="http://schemas.openxmlformats.org/officeDocument/2006/relationships/image" Target="media/image54.png"/><Relationship Id="rId120" Type="http://schemas.openxmlformats.org/officeDocument/2006/relationships/image" Target="media/image55.png"/><Relationship Id="rId121" Type="http://schemas.openxmlformats.org/officeDocument/2006/relationships/image" Target="media/image56.png"/><Relationship Id="rId122" Type="http://schemas.openxmlformats.org/officeDocument/2006/relationships/image" Target="media/image57.png"/><Relationship Id="rId123" Type="http://schemas.openxmlformats.org/officeDocument/2006/relationships/image" Target="media/image58.png"/><Relationship Id="rId124" Type="http://schemas.openxmlformats.org/officeDocument/2006/relationships/image" Target="media/image59.png"/><Relationship Id="rId125" Type="http://schemas.openxmlformats.org/officeDocument/2006/relationships/image" Target="media/image60.png"/><Relationship Id="rId126" Type="http://schemas.openxmlformats.org/officeDocument/2006/relationships/image" Target="media/image61.png"/><Relationship Id="rId127" Type="http://schemas.openxmlformats.org/officeDocument/2006/relationships/image" Target="media/image62.png"/><Relationship Id="rId128" Type="http://schemas.openxmlformats.org/officeDocument/2006/relationships/image" Target="media/image63.png"/><Relationship Id="rId129" Type="http://schemas.openxmlformats.org/officeDocument/2006/relationships/image" Target="media/image64.png"/><Relationship Id="rId130" Type="http://schemas.openxmlformats.org/officeDocument/2006/relationships/image" Target="media/image65.png"/><Relationship Id="rId131" Type="http://schemas.openxmlformats.org/officeDocument/2006/relationships/image" Target="media/image66.png"/><Relationship Id="rId132" Type="http://schemas.openxmlformats.org/officeDocument/2006/relationships/image" Target="media/image67.png"/><Relationship Id="rId133" Type="http://schemas.openxmlformats.org/officeDocument/2006/relationships/image" Target="media/image68.png"/><Relationship Id="rId134" Type="http://schemas.openxmlformats.org/officeDocument/2006/relationships/image" Target="media/image69.png"/><Relationship Id="rId135" Type="http://schemas.openxmlformats.org/officeDocument/2006/relationships/image" Target="media/image70.png"/><Relationship Id="rId136" Type="http://schemas.openxmlformats.org/officeDocument/2006/relationships/image" Target="media/image71.png"/><Relationship Id="rId137" Type="http://schemas.openxmlformats.org/officeDocument/2006/relationships/image" Target="media/image72.png"/><Relationship Id="rId138" Type="http://schemas.openxmlformats.org/officeDocument/2006/relationships/image" Target="media/image73.png"/><Relationship Id="rId139" Type="http://schemas.openxmlformats.org/officeDocument/2006/relationships/image" Target="media/image74.png"/><Relationship Id="rId140" Type="http://schemas.openxmlformats.org/officeDocument/2006/relationships/image" Target="media/image75.png"/><Relationship Id="rId141" Type="http://schemas.openxmlformats.org/officeDocument/2006/relationships/image" Target="media/image76.png"/><Relationship Id="rId142" Type="http://schemas.openxmlformats.org/officeDocument/2006/relationships/image" Target="media/image77.png"/><Relationship Id="rId143" Type="http://schemas.openxmlformats.org/officeDocument/2006/relationships/image" Target="media/image78.png"/><Relationship Id="rId144" Type="http://schemas.openxmlformats.org/officeDocument/2006/relationships/image" Target="media/image79.png"/><Relationship Id="rId145" Type="http://schemas.openxmlformats.org/officeDocument/2006/relationships/image" Target="media/image80.png"/><Relationship Id="rId146" Type="http://schemas.openxmlformats.org/officeDocument/2006/relationships/image" Target="media/image81.png"/><Relationship Id="rId147" Type="http://schemas.openxmlformats.org/officeDocument/2006/relationships/image" Target="media/image82.png"/><Relationship Id="rId148" Type="http://schemas.openxmlformats.org/officeDocument/2006/relationships/image" Target="media/image83.png"/><Relationship Id="rId149" Type="http://schemas.openxmlformats.org/officeDocument/2006/relationships/image" Target="media/image84.png"/><Relationship Id="rId150" Type="http://schemas.openxmlformats.org/officeDocument/2006/relationships/image" Target="media/image85.png"/><Relationship Id="rId151" Type="http://schemas.openxmlformats.org/officeDocument/2006/relationships/image" Target="media/image86.png"/><Relationship Id="rId152" Type="http://schemas.openxmlformats.org/officeDocument/2006/relationships/image" Target="media/image87.png"/><Relationship Id="rId153" Type="http://schemas.openxmlformats.org/officeDocument/2006/relationships/image" Target="media/image88.png"/><Relationship Id="rId154" Type="http://schemas.openxmlformats.org/officeDocument/2006/relationships/image" Target="media/image89.png"/><Relationship Id="rId155" Type="http://schemas.openxmlformats.org/officeDocument/2006/relationships/image" Target="media/image90.png"/><Relationship Id="rId156" Type="http://schemas.openxmlformats.org/officeDocument/2006/relationships/image" Target="media/image91.png"/><Relationship Id="rId157" Type="http://schemas.openxmlformats.org/officeDocument/2006/relationships/image" Target="media/image92.png"/><Relationship Id="rId158" Type="http://schemas.openxmlformats.org/officeDocument/2006/relationships/image" Target="media/image93.png"/><Relationship Id="rId159" Type="http://schemas.openxmlformats.org/officeDocument/2006/relationships/image" Target="media/image94.png"/><Relationship Id="rId160" Type="http://schemas.openxmlformats.org/officeDocument/2006/relationships/image" Target="media/image95.png"/><Relationship Id="rId161" Type="http://schemas.openxmlformats.org/officeDocument/2006/relationships/image" Target="media/image96.png"/><Relationship Id="rId162" Type="http://schemas.openxmlformats.org/officeDocument/2006/relationships/image" Target="media/image97.png"/><Relationship Id="rId163" Type="http://schemas.openxmlformats.org/officeDocument/2006/relationships/image" Target="media/image98.png"/><Relationship Id="rId164" Type="http://schemas.openxmlformats.org/officeDocument/2006/relationships/image" Target="media/image99.png"/><Relationship Id="rId165" Type="http://schemas.openxmlformats.org/officeDocument/2006/relationships/image" Target="media/image100.png"/><Relationship Id="rId166" Type="http://schemas.openxmlformats.org/officeDocument/2006/relationships/image" Target="media/image101.png"/><Relationship Id="rId167" Type="http://schemas.openxmlformats.org/officeDocument/2006/relationships/image" Target="media/image102.png"/><Relationship Id="rId168" Type="http://schemas.openxmlformats.org/officeDocument/2006/relationships/image" Target="media/image103.png"/><Relationship Id="rId169" Type="http://schemas.openxmlformats.org/officeDocument/2006/relationships/image" Target="media/image104.png"/><Relationship Id="rId170" Type="http://schemas.openxmlformats.org/officeDocument/2006/relationships/image" Target="media/image105.png"/><Relationship Id="rId171" Type="http://schemas.openxmlformats.org/officeDocument/2006/relationships/image" Target="media/image106.png"/><Relationship Id="rId172" Type="http://schemas.openxmlformats.org/officeDocument/2006/relationships/image" Target="media/image107.png"/><Relationship Id="rId173" Type="http://schemas.openxmlformats.org/officeDocument/2006/relationships/image" Target="media/image108.png"/><Relationship Id="rId174" Type="http://schemas.openxmlformats.org/officeDocument/2006/relationships/image" Target="media/image109.png"/><Relationship Id="rId175" Type="http://schemas.openxmlformats.org/officeDocument/2006/relationships/image" Target="media/image110.png"/><Relationship Id="rId176" Type="http://schemas.openxmlformats.org/officeDocument/2006/relationships/image" Target="media/image111.png"/><Relationship Id="rId177" Type="http://schemas.openxmlformats.org/officeDocument/2006/relationships/image" Target="media/image112.png"/><Relationship Id="rId178" Type="http://schemas.openxmlformats.org/officeDocument/2006/relationships/image" Target="media/image113.png"/><Relationship Id="rId179" Type="http://schemas.openxmlformats.org/officeDocument/2006/relationships/image" Target="media/image114.png"/><Relationship Id="rId180" Type="http://schemas.openxmlformats.org/officeDocument/2006/relationships/image" Target="media/image115.png"/><Relationship Id="rId181" Type="http://schemas.openxmlformats.org/officeDocument/2006/relationships/image" Target="media/image116.png"/><Relationship Id="rId182" Type="http://schemas.openxmlformats.org/officeDocument/2006/relationships/image" Target="media/image117.png"/><Relationship Id="rId183" Type="http://schemas.openxmlformats.org/officeDocument/2006/relationships/image" Target="media/image118.png"/><Relationship Id="rId184" Type="http://schemas.openxmlformats.org/officeDocument/2006/relationships/image" Target="media/image119.png"/><Relationship Id="rId185" Type="http://schemas.openxmlformats.org/officeDocument/2006/relationships/image" Target="media/image120.png"/><Relationship Id="rId186" Type="http://schemas.openxmlformats.org/officeDocument/2006/relationships/image" Target="media/image121.png"/><Relationship Id="rId187" Type="http://schemas.openxmlformats.org/officeDocument/2006/relationships/image" Target="media/image122.png"/><Relationship Id="rId188" Type="http://schemas.openxmlformats.org/officeDocument/2006/relationships/image" Target="media/image123.png"/><Relationship Id="rId189" Type="http://schemas.openxmlformats.org/officeDocument/2006/relationships/image" Target="media/image124.png"/><Relationship Id="rId190" Type="http://schemas.openxmlformats.org/officeDocument/2006/relationships/image" Target="media/image125.png"/><Relationship Id="rId191" Type="http://schemas.openxmlformats.org/officeDocument/2006/relationships/image" Target="media/image126.png"/><Relationship Id="rId192" Type="http://schemas.openxmlformats.org/officeDocument/2006/relationships/image" Target="media/image127.png"/><Relationship Id="rId193" Type="http://schemas.openxmlformats.org/officeDocument/2006/relationships/image" Target="media/image128.png"/><Relationship Id="rId194" Type="http://schemas.openxmlformats.org/officeDocument/2006/relationships/image" Target="media/image129.png"/><Relationship Id="rId195" Type="http://schemas.openxmlformats.org/officeDocument/2006/relationships/image" Target="media/image130.png"/><Relationship Id="rId196" Type="http://schemas.openxmlformats.org/officeDocument/2006/relationships/image" Target="media/image131.png"/><Relationship Id="rId197" Type="http://schemas.openxmlformats.org/officeDocument/2006/relationships/image" Target="media/image132.png"/><Relationship Id="rId198" Type="http://schemas.openxmlformats.org/officeDocument/2006/relationships/image" Target="media/image133.png"/><Relationship Id="rId199" Type="http://schemas.openxmlformats.org/officeDocument/2006/relationships/image" Target="media/image134.png"/><Relationship Id="rId200" Type="http://schemas.openxmlformats.org/officeDocument/2006/relationships/image" Target="media/image135.png"/><Relationship Id="rId201" Type="http://schemas.openxmlformats.org/officeDocument/2006/relationships/image" Target="media/image136.png"/><Relationship Id="rId202" Type="http://schemas.openxmlformats.org/officeDocument/2006/relationships/image" Target="media/image137.png"/><Relationship Id="rId203" Type="http://schemas.openxmlformats.org/officeDocument/2006/relationships/image" Target="media/image138.png"/><Relationship Id="rId204" Type="http://schemas.openxmlformats.org/officeDocument/2006/relationships/image" Target="media/image139.png"/><Relationship Id="rId205" Type="http://schemas.openxmlformats.org/officeDocument/2006/relationships/image" Target="media/image140.png"/><Relationship Id="rId206" Type="http://schemas.openxmlformats.org/officeDocument/2006/relationships/image" Target="media/image141.png"/><Relationship Id="rId207" Type="http://schemas.openxmlformats.org/officeDocument/2006/relationships/image" Target="media/image142.png"/><Relationship Id="rId208" Type="http://schemas.openxmlformats.org/officeDocument/2006/relationships/image" Target="media/image143.png"/><Relationship Id="rId209" Type="http://schemas.openxmlformats.org/officeDocument/2006/relationships/image" Target="media/image144.png"/><Relationship Id="rId210" Type="http://schemas.openxmlformats.org/officeDocument/2006/relationships/image" Target="media/image145.png"/><Relationship Id="rId211" Type="http://schemas.openxmlformats.org/officeDocument/2006/relationships/image" Target="media/image146.png"/><Relationship Id="rId212" Type="http://schemas.openxmlformats.org/officeDocument/2006/relationships/image" Target="media/image147.png"/><Relationship Id="rId213" Type="http://schemas.openxmlformats.org/officeDocument/2006/relationships/image" Target="media/image148.png"/><Relationship Id="rId214" Type="http://schemas.openxmlformats.org/officeDocument/2006/relationships/image" Target="media/image149.png"/><Relationship Id="rId215" Type="http://schemas.openxmlformats.org/officeDocument/2006/relationships/image" Target="media/image150.png"/><Relationship Id="rId216" Type="http://schemas.openxmlformats.org/officeDocument/2006/relationships/image" Target="media/image151.png"/><Relationship Id="rId217" Type="http://schemas.openxmlformats.org/officeDocument/2006/relationships/image" Target="media/image152.png"/><Relationship Id="rId218" Type="http://schemas.openxmlformats.org/officeDocument/2006/relationships/image" Target="media/image153.png"/><Relationship Id="rId219" Type="http://schemas.openxmlformats.org/officeDocument/2006/relationships/image" Target="media/image154.png"/><Relationship Id="rId220" Type="http://schemas.openxmlformats.org/officeDocument/2006/relationships/image" Target="media/image155.png"/><Relationship Id="rId221" Type="http://schemas.openxmlformats.org/officeDocument/2006/relationships/image" Target="media/image156.png"/><Relationship Id="rId222" Type="http://schemas.openxmlformats.org/officeDocument/2006/relationships/image" Target="media/image157.png"/><Relationship Id="rId223" Type="http://schemas.openxmlformats.org/officeDocument/2006/relationships/image" Target="media/image158.png"/><Relationship Id="rId224" Type="http://schemas.openxmlformats.org/officeDocument/2006/relationships/image" Target="media/image159.png"/><Relationship Id="rId225" Type="http://schemas.openxmlformats.org/officeDocument/2006/relationships/image" Target="media/image160.png"/><Relationship Id="rId226" Type="http://schemas.openxmlformats.org/officeDocument/2006/relationships/image" Target="media/image161.png"/><Relationship Id="rId227" Type="http://schemas.openxmlformats.org/officeDocument/2006/relationships/image" Target="media/image162.png"/><Relationship Id="rId228" Type="http://schemas.openxmlformats.org/officeDocument/2006/relationships/image" Target="media/image163.png"/><Relationship Id="rId229" Type="http://schemas.openxmlformats.org/officeDocument/2006/relationships/image" Target="media/image164.png"/><Relationship Id="rId230" Type="http://schemas.openxmlformats.org/officeDocument/2006/relationships/image" Target="media/image165.png"/><Relationship Id="rId231" Type="http://schemas.openxmlformats.org/officeDocument/2006/relationships/image" Target="media/image166.png"/><Relationship Id="rId232" Type="http://schemas.openxmlformats.org/officeDocument/2006/relationships/image" Target="media/image167.png"/><Relationship Id="rId233" Type="http://schemas.openxmlformats.org/officeDocument/2006/relationships/image" Target="media/image168.png"/><Relationship Id="rId15" Type="http://schemas.openxmlformats.org/officeDocument/2006/relationships/hyperlink" Target="https://www.sec.gov/Archives/edgar/data/749647/000149315223008888/ex3-1.htm" TargetMode="External"/><Relationship Id="rId16" Type="http://schemas.openxmlformats.org/officeDocument/2006/relationships/hyperlink" Target="https://www.sec.gov/Archives/edgar/data/749647/000164117225018797/ex3-1.htm" TargetMode="External"/><Relationship Id="rId17" Type="http://schemas.openxmlformats.org/officeDocument/2006/relationships/hyperlink" Target="https://www.sec.gov/Archives/edgar/data/749647/000164117225020652/ex3-1.htm" TargetMode="External"/><Relationship Id="rId18" Type="http://schemas.openxmlformats.org/officeDocument/2006/relationships/hyperlink" Target="https://www.sec.gov/Archives/edgar/data/749647/000149315224010195/ex3-1.htm" TargetMode="External"/><Relationship Id="rId19" Type="http://schemas.openxmlformats.org/officeDocument/2006/relationships/hyperlink" Target="https://www.sec.gov/Archives/edgar/data/749647/000149315226027201/ex3-1.htm" TargetMode="External"/><Relationship Id="rId20" Type="http://schemas.openxmlformats.org/officeDocument/2006/relationships/hyperlink" Target="https://www.sec.gov/Archives/edgar/data/749647/000149315226044792/ex3-1.htm" TargetMode="External"/><Relationship Id="rId21" Type="http://schemas.openxmlformats.org/officeDocument/2006/relationships/hyperlink" Target="https://www.sec.gov/Archives/edgar/data/749647/000149315220017312/ex4-1.htm" TargetMode="External"/><Relationship Id="rId22" Type="http://schemas.openxmlformats.org/officeDocument/2006/relationships/hyperlink" Target="https://www.sec.gov/Archives/edgar/data/749647/000149315224029697/ex4-1.htm" TargetMode="External"/><Relationship Id="rId23" Type="http://schemas.openxmlformats.org/officeDocument/2006/relationships/hyperlink" Target="https://www.sec.gov/Archives/edgar/data/749647/000164117225012395/ex4-1.htm" TargetMode="External"/><Relationship Id="rId24" Type="http://schemas.openxmlformats.org/officeDocument/2006/relationships/hyperlink" Target="https://www.sec.gov/Archives/edgar/data/749647/000164117225012395/ex4-2.htm" TargetMode="External"/><Relationship Id="rId25" Type="http://schemas.openxmlformats.org/officeDocument/2006/relationships/hyperlink" Target="https://www.sec.gov/Archives/edgar/data/749647/000164117225012395/ex4-3.htm" TargetMode="External"/><Relationship Id="rId26" Type="http://schemas.openxmlformats.org/officeDocument/2006/relationships/hyperlink" Target="https://www.sec.gov/Archives/edgar/data/749647/000149315225029711/ex4-1.htm" TargetMode="External"/><Relationship Id="rId28" Type="http://schemas.openxmlformats.org/officeDocument/2006/relationships/hyperlink" Target="https://www.sec.gov/Archives/edgar/data/749647/000149315225029711/ex4-2.htm" TargetMode="External"/><Relationship Id="rId29" Type="http://schemas.openxmlformats.org/officeDocument/2006/relationships/hyperlink" Target="https://www.sec.gov/Archives/edgar/data/749647/000149315226048630/ex5-1.htm" TargetMode="External"/><Relationship Id="rId30" Type="http://schemas.openxmlformats.org/officeDocument/2006/relationships/hyperlink" Target="https://www.sec.gov/Archives/edgar/data/749647/000143774917009400/ex10-1.htm" TargetMode="External"/><Relationship Id="rId31" Type="http://schemas.openxmlformats.org/officeDocument/2006/relationships/hyperlink" Target="https://www.sec.gov/Archives/edgar/data/749647/000143774917019215/ex_99691.htm" TargetMode="External"/><Relationship Id="rId32" Type="http://schemas.openxmlformats.org/officeDocument/2006/relationships/hyperlink" Target="https://www.sec.gov/Archives/edgar/data/749647/000143774918010040/ex_114605.htm" TargetMode="External"/><Relationship Id="rId33" Type="http://schemas.openxmlformats.org/officeDocument/2006/relationships/hyperlink" Target="https://www.sec.gov/Archives/edgar/data/749647/000149315219007203/ex10-1.htm" TargetMode="External"/><Relationship Id="rId34" Type="http://schemas.openxmlformats.org/officeDocument/2006/relationships/hyperlink" Target="https://www.sec.gov/Archives/edgar/data/749647/000149315220011263/ex10-1.htm" TargetMode="External"/><Relationship Id="rId35" Type="http://schemas.openxmlformats.org/officeDocument/2006/relationships/hyperlink" Target="https://www.sec.gov/Archives/edgar/data/749647/000149315221014023/ex10-1.htm" TargetMode="External"/><Relationship Id="rId36" Type="http://schemas.openxmlformats.org/officeDocument/2006/relationships/hyperlink" Target="https://www.sec.gov/Archives/edgar/data/749647/000149315223021447/ex10-1.htm" TargetMode="External"/><Relationship Id="rId37" Type="http://schemas.openxmlformats.org/officeDocument/2006/relationships/hyperlink" Target="https://www.sec.gov/Archives/edgar/data/749647/000164117225019541/ex10-1.htm" TargetMode="External"/><Relationship Id="rId38" Type="http://schemas.openxmlformats.org/officeDocument/2006/relationships/hyperlink" Target="https://www.sec.gov/Archives/edgar/data/749647/000149315224018795/ex10-1.htm" TargetMode="External"/><Relationship Id="rId39" Type="http://schemas.openxmlformats.org/officeDocument/2006/relationships/hyperlink" Target="https://www.sec.gov/Archives/edgar/data/749647/000149315224018795/ex10-2.htm" TargetMode="External"/><Relationship Id="rId40" Type="http://schemas.openxmlformats.org/officeDocument/2006/relationships/hyperlink" Target="https://www.sec.gov/Archives/edgar/data/749647/000149315224034310/ex99-1.htm" TargetMode="External"/><Relationship Id="rId41" Type="http://schemas.openxmlformats.org/officeDocument/2006/relationships/hyperlink" Target="https://www.sec.gov/Archives/edgar/data/749647/000149315226005203/ex10-1.htm" TargetMode="External"/><Relationship Id="rId42" Type="http://schemas.openxmlformats.org/officeDocument/2006/relationships/hyperlink" Target="https://www.sec.gov/Archives/edgar/data/749647/000149315222019765/ex10-2.htm" TargetMode="External"/><Relationship Id="rId43" Type="http://schemas.openxmlformats.org/officeDocument/2006/relationships/hyperlink" Target="https://www.sec.gov/Archives/edgar/data/749647/000143774916041670/ex10-1.htm" TargetMode="External"/><Relationship Id="rId44" Type="http://schemas.openxmlformats.org/officeDocument/2006/relationships/hyperlink" Target="https://www.sec.gov/Archives/edgar/data/749647/000149315224018166/ex10-1.htm" TargetMode="External"/><Relationship Id="rId45" Type="http://schemas.openxmlformats.org/officeDocument/2006/relationships/hyperlink" Target="https://www.sec.gov/Archives/edgar/data/749647/000149315224020543/ex10-1.htm" TargetMode="External"/><Relationship Id="rId46" Type="http://schemas.openxmlformats.org/officeDocument/2006/relationships/hyperlink" Target="https://www.sec.gov/Archives/edgar/data/749647/000149315225005536/ex10-1.htm" TargetMode="External"/><Relationship Id="rId47" Type="http://schemas.openxmlformats.org/officeDocument/2006/relationships/hyperlink" Target="https://www.sec.gov/Archives/edgar/data/749647/000074964711000106/exhibit99_1.htm" TargetMode="External"/><Relationship Id="rId48" Type="http://schemas.openxmlformats.org/officeDocument/2006/relationships/hyperlink" Target="https://www.sec.gov/Archives/edgar/data/749647/000143774917019215/ex_99690.htm" TargetMode="External"/><Relationship Id="rId49" Type="http://schemas.openxmlformats.org/officeDocument/2006/relationships/hyperlink" Target="https://www.sec.gov/Archives/edgar/data/749647/000149315219007214/ex10-1.htm" TargetMode="External"/><Relationship Id="rId50" Type="http://schemas.openxmlformats.org/officeDocument/2006/relationships/hyperlink" Target="https://www.sec.gov/Archives/edgar/data/749647/000149315226048630/ex10-22.htm" TargetMode="External"/><Relationship Id="rId51" Type="http://schemas.openxmlformats.org/officeDocument/2006/relationships/hyperlink" Target="https://www.sec.gov/Archives/edgar/data/749647/000149315220011263/ex10-2.htm" TargetMode="External"/><Relationship Id="rId52" Type="http://schemas.openxmlformats.org/officeDocument/2006/relationships/hyperlink" Target="https://www.sec.gov/Archives/edgar/data/749647/000149315220003910/ex10-1.htm" TargetMode="External"/><Relationship Id="rId53" Type="http://schemas.openxmlformats.org/officeDocument/2006/relationships/hyperlink" Target="https://www.sec.gov/Archives/edgar/data/749647/000149315222015061/ex10-1.htm" TargetMode="External"/><Relationship Id="rId54" Type="http://schemas.openxmlformats.org/officeDocument/2006/relationships/hyperlink" Target="https://www.sec.gov/Archives/edgar/data/749647/000149315224019876/ex1-3.htm" TargetMode="External"/><Relationship Id="rId55" Type="http://schemas.openxmlformats.org/officeDocument/2006/relationships/hyperlink" Target="https://www.sec.gov/Archives/edgar/data/749647/000149315224029697/ex10-1.htm" TargetMode="External"/><Relationship Id="rId57" Type="http://schemas.openxmlformats.org/officeDocument/2006/relationships/hyperlink" Target="https://www.sec.gov/Archives/edgar/data/749647/000164117225009775/ex10-1.htm" TargetMode="External"/><Relationship Id="rId58" Type="http://schemas.openxmlformats.org/officeDocument/2006/relationships/hyperlink" Target="https://www.sec.gov/Archives/edgar/data/749647/000164117225012395/ex10-1.htm" TargetMode="External"/><Relationship Id="rId59" Type="http://schemas.openxmlformats.org/officeDocument/2006/relationships/hyperlink" Target="https://www.sec.gov/Archives/edgar/data/749647/000164117225012395/ex10-2.htm" TargetMode="External"/><Relationship Id="rId60" Type="http://schemas.openxmlformats.org/officeDocument/2006/relationships/hyperlink" Target="https://www.sec.gov/Archives/edgar/data/749647/000149315225029711/ex10-1.htm" TargetMode="External"/><Relationship Id="rId61" Type="http://schemas.openxmlformats.org/officeDocument/2006/relationships/hyperlink" Target="https://www.sec.gov/Archives/edgar/data/749647/000149315226048630/ex10-32.htm" TargetMode="External"/><Relationship Id="rId62" Type="http://schemas.openxmlformats.org/officeDocument/2006/relationships/hyperlink" Target="https://www.sec.gov/Archives/edgar/data/749647/000149315226027201/ex10-1.htm" TargetMode="External"/><Relationship Id="rId63" Type="http://schemas.openxmlformats.org/officeDocument/2006/relationships/hyperlink" Target="https://www.sec.gov/Archives/edgar/data/749647/000149315226027201/ex10-2.htm" TargetMode="External"/><Relationship Id="rId64" Type="http://schemas.openxmlformats.org/officeDocument/2006/relationships/hyperlink" Target="https://www.sec.gov/Archives/edgar/data/749647/000149315226027201/ex10-3.htm" TargetMode="External"/><Relationship Id="rId65" Type="http://schemas.openxmlformats.org/officeDocument/2006/relationships/hyperlink" Target="https://www.sec.gov/Archives/edgar/data/749647/000149315226028937/ex10-1.htm" TargetMode="External"/><Relationship Id="rId66" Type="http://schemas.openxmlformats.org/officeDocument/2006/relationships/hyperlink" Target="https://www.sec.gov/Archives/edgar/data/749647/000149315226031292/ex10-1.htm" TargetMode="External"/><Relationship Id="rId67" Type="http://schemas.openxmlformats.org/officeDocument/2006/relationships/hyperlink" Target="https://www.sec.gov/Archives/edgar/data/749647/000149315226021019/ex10-1.htm" TargetMode="External"/><Relationship Id="rId68" Type="http://schemas.openxmlformats.org/officeDocument/2006/relationships/hyperlink" Target="https://www.sec.gov/Archives/edgar/data/749647/000149315226044792/ex10-1.htm" TargetMode="External"/><Relationship Id="rId69" Type="http://schemas.openxmlformats.org/officeDocument/2006/relationships/hyperlink" Target="https://www.sec.gov/Archives/edgar/data/749647/000149315226048630/ex10-41.htm" TargetMode="External"/><Relationship Id="rId70" Type="http://schemas.openxmlformats.org/officeDocument/2006/relationships/hyperlink" Target="https://www.sec.gov/Archives/edgar/data/749647/000149315226048630/ex10-42.htm" TargetMode="External"/><Relationship Id="rId71" Type="http://schemas.openxmlformats.org/officeDocument/2006/relationships/hyperlink" Target="https://www.sec.gov/Archives/edgar/data/749647/000149315226048630/ex10-43.htm" TargetMode="External"/><Relationship Id="rId72" Type="http://schemas.openxmlformats.org/officeDocument/2006/relationships/hyperlink" Target="https://www.sec.gov/Archives/edgar/data/749647/000149315225008460/ex21-1.htm" TargetMode="External"/><Relationship Id="rId73" Type="http://schemas.openxmlformats.org/officeDocument/2006/relationships/hyperlink" Target="https://www.sec.gov/Archives/edgar/data/749647/000149315226048630/ex23-1.htm" TargetMode="External"/><Relationship Id="rId74" Type="http://schemas.openxmlformats.org/officeDocument/2006/relationships/hyperlink" Target="https://www.sec.gov/Archives/edgar/data/749647/000149315226048630/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2026-10-28T05:25:59Z</dcterms:created>
  <dcterms:modified xsi:type="dcterms:W3CDTF">2026-10-28T05:25:59Z</dcterms:modified>
</cp:coreProperties>
</file>