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940" w:right="2240" w:hanging="3932"/>
        <w:spacing w:after="0" w:line="50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2025</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1014" w:gutter="0" w:footer="0" w:header="0"/>
        </w:sectPr>
      </w:pPr>
    </w:p>
    <w:p>
      <w:pPr>
        <w:spacing w:after="0" w:line="135"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1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6040" w:space="720"/>
            <w:col w:w="4480"/>
          </w:cols>
          <w:pgMar w:left="320" w:top="740" w:right="339" w:bottom="1014"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9, 2025, the Registrant had 14,620,732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01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8"/>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4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0"/>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QUARTERLY REPORT ON</w:t>
            </w:r>
          </w:p>
        </w:tc>
        <w:tc>
          <w:tcPr>
            <w:tcW w:w="64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0"/>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45"/>
        </w:trPr>
        <w:tc>
          <w:tcPr>
            <w:tcW w:w="6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0"/>
        </w:trPr>
        <w:tc>
          <w:tcPr>
            <w:tcW w:w="10600" w:type="dxa"/>
            <w:vAlign w:val="bottom"/>
            <w:gridSpan w:val="21"/>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spacing w:after="0"/>
              <w:rPr>
                <w:sz w:val="16"/>
                <w:szCs w:val="16"/>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84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660" w:type="dxa"/>
            <w:vAlign w:val="bottom"/>
          </w:tcPr>
          <w:p>
            <w:pPr>
              <w:spacing w:after="0"/>
              <w:rPr>
                <w:sz w:val="15"/>
                <w:szCs w:val="15"/>
                <w:color w:val="auto"/>
              </w:rPr>
            </w:pP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(Unaudited) and December 31,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85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for the Three Months Ended March 31, 2025 and 2024</w:t>
            </w:r>
          </w:p>
        </w:tc>
        <w:tc>
          <w:tcPr>
            <w:tcW w:w="138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660" w:type="dxa"/>
            <w:vAlign w:val="bottom"/>
          </w:tcPr>
          <w:p>
            <w:pPr>
              <w:spacing w:after="0"/>
              <w:rPr>
                <w:sz w:val="15"/>
                <w:szCs w:val="15"/>
                <w:color w:val="auto"/>
              </w:rPr>
            </w:pP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(Unaudited) for the Three Months Ended March 31, 2025 and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Three Months Ended March 31, 2025 and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March 31, 2025</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March 31,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660" w:type="dxa"/>
            <w:vAlign w:val="bottom"/>
            <w:tcBorders>
              <w:top w:val="single" w:sz="8" w:color="CCEEFF"/>
            </w:tcBorders>
          </w:tcPr>
          <w:p>
            <w:pPr>
              <w:spacing w:after="0"/>
              <w:rPr>
                <w:sz w:val="15"/>
                <w:szCs w:val="15"/>
                <w:color w:val="auto"/>
              </w:rPr>
            </w:pPr>
          </w:p>
        </w:tc>
        <w:tc>
          <w:tcPr>
            <w:tcW w:w="94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5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tcPr>
          <w:p>
            <w:pPr>
              <w:spacing w:after="0"/>
              <w:rPr>
                <w:sz w:val="15"/>
                <w:szCs w:val="15"/>
                <w:color w:val="auto"/>
              </w:rPr>
            </w:pPr>
          </w:p>
        </w:tc>
      </w:tr>
      <w:tr>
        <w:trPr>
          <w:trHeight w:val="21"/>
        </w:trPr>
        <w:tc>
          <w:tcPr>
            <w:tcW w:w="6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453"/>
        </w:trPr>
        <w:tc>
          <w:tcPr>
            <w:tcW w:w="6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any continuing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U.S. Food and Drug Administration (“FDA”) and foreign regulatory approvals for our drug candidates,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and assumptions are described in Item 1A. Risk Factors in our Annual Report on Form 10-K for the fiscal year ended December 31, 2024, and in other documents that we file or furnish with the Securities and Exchange Commission.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or revise any forward-looking statements even if new information becomes available in the future,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“Imunon,” “we,” “us,” and “our” refer to Imunon, Inc., a Delaware corporation and its wholly 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2,871,756</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5,872,767</w:t>
            </w: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2,220,200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2,136,192</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5,091,956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8,008,959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734,243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541,272</w:t>
            </w: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985,887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1,117,133</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1,035,887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1,167,133</w:t>
            </w:r>
          </w:p>
        </w:tc>
        <w:tc>
          <w:tcPr>
            <w:tcW w:w="100" w:type="dxa"/>
            <w:vAlign w:val="bottom"/>
            <w:tcBorders>
              <w:bottom w:val="single" w:sz="8" w:color="CCEEFF"/>
            </w:tcBorders>
          </w:tcPr>
          <w:p>
            <w:pPr>
              <w:spacing w:after="0"/>
              <w:rPr>
                <w:sz w:val="18"/>
                <w:szCs w:val="18"/>
                <w:color w:val="auto"/>
              </w:rPr>
            </w:pPr>
          </w:p>
        </w:tc>
      </w:tr>
      <w:tr>
        <w:trPr>
          <w:trHeight w:val="209"/>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6,862,086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9,717,364</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8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1,858,602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1,300,026</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3,543,407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3,033,747</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394,878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452,358</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5,796,887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4,786,131</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613,171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686,935</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6,410,058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 and December 31, 2024</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14,620,754 and 14,500,707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at March 31, 2025 and December 31, 2024, respectively; and 14,620,732 and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14,500,685 shares outstanding at March 31, 2025 and December 31, 2024, respectively)</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146,207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145,007</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411,296,548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410,987,523</w:t>
            </w: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(410,905,539)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(406,803,044)</w:t>
            </w: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537,216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4,329,486</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(22 shares at March 31, 2025 and December 31, 2024)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452,028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4,244,298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6,862,086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9,717,364</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3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60" w:type="dxa"/>
            <w:vAlign w:val="bottom"/>
          </w:tcPr>
          <w:p>
            <w:pPr>
              <w:spacing w:after="0"/>
              <w:rPr>
                <w:sz w:val="24"/>
                <w:szCs w:val="24"/>
                <w:color w:val="auto"/>
              </w:rPr>
            </w:pPr>
          </w:p>
        </w:tc>
        <w:tc>
          <w:tcPr>
            <w:tcW w:w="37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3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60" w:type="dxa"/>
            <w:vAlign w:val="bottom"/>
          </w:tcPr>
          <w:p>
            <w:pPr>
              <w:spacing w:after="0"/>
              <w:rPr>
                <w:sz w:val="20"/>
                <w:szCs w:val="20"/>
                <w:color w:val="auto"/>
              </w:rPr>
            </w:pPr>
          </w:p>
        </w:tc>
        <w:tc>
          <w:tcPr>
            <w:tcW w:w="3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3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3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2,165,092</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3,293,861</w:t>
            </w:r>
          </w:p>
        </w:tc>
      </w:tr>
      <w:tr>
        <w:trPr>
          <w:trHeight w:val="22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1,980,207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1,717,585</w:t>
            </w:r>
          </w:p>
        </w:tc>
      </w:tr>
      <w:tr>
        <w:trPr>
          <w:trHeight w:val="209"/>
        </w:trPr>
        <w:tc>
          <w:tcPr>
            <w:tcW w:w="3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3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4,145,299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5,011,446</w:t>
            </w:r>
          </w:p>
        </w:tc>
        <w:tc>
          <w:tcPr>
            <w:tcW w:w="100" w:type="dxa"/>
            <w:vAlign w:val="bottom"/>
            <w:tcBorders>
              <w:bottom w:val="single" w:sz="8" w:color="CCEEFF"/>
            </w:tcBorders>
          </w:tcPr>
          <w:p>
            <w:pPr>
              <w:spacing w:after="0"/>
              <w:rPr>
                <w:sz w:val="18"/>
                <w:szCs w:val="18"/>
                <w:color w:val="auto"/>
              </w:rPr>
            </w:pPr>
          </w:p>
        </w:tc>
      </w:tr>
      <w:tr>
        <w:trPr>
          <w:trHeight w:val="210"/>
        </w:trPr>
        <w:tc>
          <w:tcPr>
            <w:tcW w:w="3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(4,145,299)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(5,011,446)</w:t>
            </w:r>
          </w:p>
        </w:tc>
      </w:tr>
      <w:tr>
        <w:trPr>
          <w:trHeight w:val="209"/>
        </w:trPr>
        <w:tc>
          <w:tcPr>
            <w:tcW w:w="366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 net</w:t>
            </w:r>
          </w:p>
        </w:tc>
        <w:tc>
          <w:tcPr>
            <w:tcW w:w="3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42,804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81,921</w:t>
            </w:r>
          </w:p>
        </w:tc>
      </w:tr>
      <w:tr>
        <w:trPr>
          <w:trHeight w:val="209"/>
        </w:trPr>
        <w:tc>
          <w:tcPr>
            <w:tcW w:w="3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(4,102,495)</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(4,929,525)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3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14,558,186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9,399,831</w:t>
            </w:r>
          </w:p>
        </w:tc>
      </w:tr>
      <w:tr>
        <w:trPr>
          <w:trHeight w:val="196"/>
        </w:trPr>
        <w:tc>
          <w:tcPr>
            <w:tcW w:w="366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3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00" w:type="dxa"/>
            <w:vAlign w:val="bottom"/>
            <w:gridSpan w:val="3"/>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gains on available for sale securities, net</w:t>
            </w:r>
          </w:p>
        </w:tc>
        <w:tc>
          <w:tcPr>
            <w:tcW w:w="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72,305</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(4,102,495)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(4,929,525)</w:t>
            </w:r>
          </w:p>
        </w:tc>
      </w:tr>
      <w:tr>
        <w:trPr>
          <w:trHeight w:val="210"/>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(4,102,495)</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(4,857,220)</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120" w:type="dxa"/>
            <w:vAlign w:val="bottom"/>
            <w:gridSpan w:val="3"/>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8"/>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(4,102,495)</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(4,929,525)</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66,681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70,301</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131,246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108,009</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losses, net, on investment securities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73,466</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204,533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(30,679)</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Realization of deferred income tax asset</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1,280,385</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changes in:</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(84,008)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259,561</w:t>
            </w:r>
          </w:p>
        </w:tc>
        <w:tc>
          <w:tcPr>
            <w:tcW w:w="80" w:type="dxa"/>
            <w:vAlign w:val="bottom"/>
          </w:tcPr>
          <w:p>
            <w:pPr>
              <w:spacing w:after="0"/>
              <w:rPr>
                <w:sz w:val="18"/>
                <w:szCs w:val="18"/>
                <w:color w:val="auto"/>
              </w:rPr>
            </w:pPr>
          </w:p>
        </w:tc>
      </w:tr>
      <w:tr>
        <w:trPr>
          <w:trHeight w:val="230"/>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936,992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(2,705,402)</w:t>
            </w:r>
          </w:p>
        </w:tc>
      </w:tr>
      <w:tr>
        <w:trPr>
          <w:trHeight w:val="209"/>
        </w:trPr>
        <w:tc>
          <w:tcPr>
            <w:tcW w:w="69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(2,847,051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(5,873,884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(105,949)</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tcPr>
          <w:p>
            <w:pPr>
              <w:spacing w:after="0"/>
              <w:rPr>
                <w:sz w:val="18"/>
                <w:szCs w:val="18"/>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(259,652)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(11,755)</w:t>
            </w:r>
          </w:p>
        </w:tc>
      </w:tr>
      <w:tr>
        <w:trPr>
          <w:trHeight w:val="209"/>
        </w:trPr>
        <w:tc>
          <w:tcPr>
            <w:tcW w:w="69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(259,652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2,382,296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105,692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69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105,692</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7"/>
              </w:rPr>
              <w:t>(3,001,011)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(3,491,588)</w:t>
            </w: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5,872,767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5,838,566</w:t>
            </w:r>
          </w:p>
        </w:tc>
        <w:tc>
          <w:tcPr>
            <w:tcW w:w="80" w:type="dxa"/>
            <w:vAlign w:val="bottom"/>
            <w:shd w:val="clear" w:color="auto" w:fill="CCEEFF"/>
          </w:tcPr>
          <w:p>
            <w:pPr>
              <w:spacing w:after="0"/>
              <w:rPr>
                <w:sz w:val="19"/>
                <w:szCs w:val="19"/>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 at end of period</w:t>
            </w:r>
          </w:p>
        </w:tc>
        <w:tc>
          <w:tcPr>
            <w:tcW w:w="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2,871,756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2,346,978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1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3420" w:type="dxa"/>
            <w:vAlign w:val="bottom"/>
          </w:tcPr>
          <w:p>
            <w:pPr>
              <w:spacing w:after="0"/>
              <w:rPr>
                <w:sz w:val="21"/>
                <w:szCs w:val="21"/>
                <w:color w:val="auto"/>
              </w:rPr>
            </w:pPr>
          </w:p>
        </w:tc>
        <w:tc>
          <w:tcPr>
            <w:tcW w:w="214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740" w:type="dxa"/>
            <w:vAlign w:val="bottom"/>
            <w:gridSpan w:val="4"/>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tcPr>
          <w:p>
            <w:pPr>
              <w:spacing w:after="0"/>
              <w:rPr>
                <w:sz w:val="21"/>
                <w:szCs w:val="21"/>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42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34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14,500,707</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4"/>
              </w:rPr>
              <w:t>$ 145,007</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$ 410,987,523</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5"/>
              </w:rPr>
              <w:t>$ (85,188)</w:t>
            </w:r>
          </w:p>
        </w:tc>
        <w:tc>
          <w:tcPr>
            <w:tcW w:w="14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(406,803,044)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4,244,298</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(4,102,495)</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(4,102,495)</w:t>
            </w: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 financing</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facilities, net of costs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120,047</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104,492</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105,692</w:t>
            </w:r>
          </w:p>
        </w:tc>
        <w:tc>
          <w:tcPr>
            <w:tcW w:w="80" w:type="dxa"/>
            <w:vAlign w:val="bottom"/>
          </w:tcPr>
          <w:p>
            <w:pPr>
              <w:spacing w:after="0"/>
              <w:rPr>
                <w:sz w:val="20"/>
                <w:szCs w:val="20"/>
                <w:color w:val="auto"/>
              </w:rPr>
            </w:pPr>
          </w:p>
        </w:tc>
      </w:tr>
      <w:tr>
        <w:trPr>
          <w:trHeight w:val="22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204,533</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204,533</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14,620,754</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$ 146,207</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$ 411,296,548</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(85,188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(410,905,539</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2300" w:type="dxa"/>
            <w:vAlign w:val="bottom"/>
          </w:tcPr>
          <w:p>
            <w:pPr>
              <w:spacing w:after="0"/>
              <w:rPr>
                <w:sz w:val="21"/>
                <w:szCs w:val="21"/>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7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300" w:type="dxa"/>
            <w:vAlign w:val="bottom"/>
          </w:tcPr>
          <w:p>
            <w:pPr>
              <w:spacing w:after="0"/>
              <w:rPr>
                <w:sz w:val="19"/>
                <w:szCs w:val="19"/>
                <w:color w:val="auto"/>
              </w:rPr>
            </w:pPr>
          </w:p>
        </w:tc>
        <w:tc>
          <w:tcPr>
            <w:tcW w:w="10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2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9,399,811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$ 93,998</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$ 401,500,838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60,796</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(388,182,802)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13,387,642</w:t>
            </w:r>
          </w:p>
        </w:tc>
        <w:tc>
          <w:tcPr>
            <w:tcW w:w="10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(4,929,525)</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(4,929,525)</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upon</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72,305</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72,305</w:t>
            </w:r>
          </w:p>
        </w:tc>
        <w:tc>
          <w:tcPr>
            <w:tcW w:w="100" w:type="dxa"/>
            <w:vAlign w:val="bottom"/>
          </w:tcPr>
          <w:p>
            <w:pPr>
              <w:spacing w:after="0"/>
              <w:rPr>
                <w:sz w:val="20"/>
                <w:szCs w:val="20"/>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(30,690)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(30,690)</w:t>
            </w:r>
          </w:p>
        </w:tc>
      </w:tr>
      <w:tr>
        <w:trPr>
          <w:trHeight w:val="174"/>
        </w:trPr>
        <w:tc>
          <w:tcPr>
            <w:tcW w:w="23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5"/>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9,400,911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$ 94,009</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401,470,148</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133,101</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(393,112,327)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8,499,743</w:t>
            </w:r>
          </w:p>
        </w:tc>
        <w:tc>
          <w:tcPr>
            <w:tcW w:w="100" w:type="dxa"/>
            <w:vAlign w:val="bottom"/>
          </w:tcPr>
          <w:p>
            <w:pPr>
              <w:spacing w:after="0"/>
              <w:rPr>
                <w:sz w:val="23"/>
                <w:szCs w:val="23"/>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Inc. (“Imunon” or the “Company”)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multiple clinical trials including one Phase II clinical trial (OVATION 2).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During the quarter ended March 31, 2025, there were no changes to the Company’s accounting policies. Certain information and disclosures normally included in financial statements prepared in accordance with GAAP have been condensed or omitted pursuant to such rules and regulations.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months ended March 31, 2025 and 2024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2024, filed with the Securities and Exchange Commission on February 27,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amounts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inception. For the quarter ended March 31, 2025, the Company had a net loss of $4.1 million and used $2.8 million to fund operations. As of March 31, 2025, the Company has incurred approximately $411 million of cumulative net losses. As of March 31, 2025, the Company had $2.9 million in cash and cash equivalents to fund its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recent tariff announcement by the U.S. federal government,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maintain current research and development licensing arrangements and to establish new research and development and licensing arrangements; the ability to achieve milestones under licensing arrangements; the costs involved in prosecuting and enforcing patent claims and other intellectual property rights; and the costs and timing of regulatory approvals.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reduce spending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potential out licensing for its drug candidates.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as a going concern will depend on its ability to raise additional capital, attain further operating efficiencies, reduce expenditures, and, ultimately, to generate revenue. There are no assurances that these future funding and operating efforts will be successful. If management is unsuccessful in these efforts, the Company’s current capital is not expected to be sufficient to fund our operations for the next twelve months.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plan includes private or public equity financings, collaborations, or other strategic transactions such as raising funds from outside investors via its ATM program and other potential funding sources. The Company may not be able to obtain funding on acceptable terms, or at all. The terms of any financing may adversely affect the holdings or the rights of the Company’s stockholders. The Company’s ability to raise additional funds will depend, among other factors, on financial, economic and market conditions, many of which are outside of its control, and it may be unable to raise financing when needed, or on terms favorable to the Company. If the Company is unable to obtain sufficient capital to fund its operations it may be required to evaluate alternatives.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 not apply to its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disclosure of disaggregated income taxes paid, prescribes standard categories for the components of the effective tax rate reconciliation, and modifies other income tax-related disclosures. ASU No. 2023-09 is effective for the Company’s Annual Report om Form 10-K for the year ended December 31, 2025. Early adoption is permitted. The Company is currently evaluating the impact of the ASU on the income tax disclosures within the consolidated financial statements, the Company expects changes to the Company’s income tax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currently evaluating the impact that this change will have on the Company’s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were 7,137,111 and 1,197,390 shares for the periods ended March 31, 2025 and 2024, respectively. For the three-month periods ended March 31, 2025 and 2024,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three months of 2025 or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5. Segment Performance Measures and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research and development of our product candidates. The Company’s chief operating decision maker (“CODM”) has been identified as the Chief Executive Officer and President, who reviews operating results to make decisions about allocating resources and assessing performance for the entire Company based on consolidated financial information. Consequently, we view the entire organization as one reportable segment and the strategic purpose of all operating activities (including general &amp;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Our CODM does not generally evaluate our performance using asset or historical cash flow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the significant expense categories and consolidated net loss details provided to the CODM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tcBorders>
              <w:bottom w:val="single" w:sz="8" w:color="auto"/>
            </w:tcBorders>
            <w:gridSpan w:val="7"/>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7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214</w:t>
            </w:r>
          </w:p>
        </w:tc>
        <w:tc>
          <w:tcPr>
            <w:tcW w:w="4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287</w:t>
            </w:r>
          </w:p>
        </w:tc>
        <w:tc>
          <w:tcPr>
            <w:tcW w:w="7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74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w:t>
            </w:r>
          </w:p>
        </w:tc>
        <w:tc>
          <w:tcPr>
            <w:tcW w:w="1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7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74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508</w:t>
            </w: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740" w:type="dxa"/>
            <w:vAlign w:val="bottom"/>
          </w:tcPr>
          <w:p>
            <w:pPr>
              <w:spacing w:after="0"/>
              <w:rPr>
                <w:sz w:val="19"/>
                <w:szCs w:val="19"/>
                <w:color w:val="auto"/>
              </w:rPr>
            </w:pPr>
          </w:p>
        </w:tc>
        <w:tc>
          <w:tcPr>
            <w:tcW w:w="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67</w:t>
            </w:r>
          </w:p>
        </w:tc>
        <w:tc>
          <w:tcPr>
            <w:tcW w:w="16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263</w:t>
            </w:r>
          </w:p>
        </w:tc>
        <w:tc>
          <w:tcPr>
            <w:tcW w:w="1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74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(4,145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Other Accrued Liabilities</w:t>
            </w: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accrued liabilities at March 31, 2025 and December 31, 2024 include the following:</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Amounts due to contract research organizations and other contractual agreements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2,550,804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1,945,111</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40,600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40,600</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3,543,407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3,033,747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4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no longer be subject to the Baby Shelf Limitation if its public float exceeds $75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15, 2024, the Company amended the At the Market Offering Agreement, dated as of May 25, 2022 (the “ATM Agreement”) with H.C. Wainwright</w:t>
      </w:r>
    </w:p>
    <w:p>
      <w:pPr>
        <w:spacing w:after="0" w:line="39" w:lineRule="exact"/>
        <w:rPr>
          <w:sz w:val="20"/>
          <w:szCs w:val="20"/>
          <w:color w:val="auto"/>
        </w:rPr>
      </w:pPr>
    </w:p>
    <w:p>
      <w:pPr>
        <w:jc w:val="both"/>
        <w:ind w:firstLine="8"/>
        <w:spacing w:after="0" w:line="253" w:lineRule="auto"/>
        <w:tabs>
          <w:tab w:leader="none" w:pos="1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(“Wainwright”) as sales agent. Pursuant to the terms of the amended ATM Agreement, the Company may offer and sell, from time to time, through Wainwright, shares of the Company’s common stock having an aggregate offering price of up to $5,500,000. The Company intends to use the net proceeds from any offering under the amended ATM Agreement for general corporate purposes, including research and development activities, capital expenditures and working capital.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2024, the Company filed a new prospectus supplement to the 2024 Registration Statement with the SEC for an aggregate offering price of up to $5,500,000 related to the potential issuance from time to time of the Company’s common stock pursuant to the ATM Agreement with Wainwright as sales agent.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88,796 shares of common stock under the ATM Agreement for net proceeds of $99,506 during 2024. The Company sold 120,047 shares of common stock under the ATM Agreement for net proceeds of $105,693 during the quarter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the Purchasers, pursuant to which the Company issued, in a registered direct offering, an aggregate of 5,000,000 shares of the Company’s common stock at an offering price of $2.00 per share for gross proceeds of $10.0 million before the deduction of placement agent fees and offering expenses. In a concurrent private placement and also pursuant to the July 2024 Purchase Agreement, the Company issued to the Purchasers the Warrants to purchase an aggregate of 5,000,000 shares of its common stock at an exercise price of $2.00 per share.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became exercisable immediately after issuance for a term of five and one-half years following the date of issuance. The closing of the July 2024 Offering occurred on August 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2018, stockholders approved the Imunon, Inc. 2018 Stock Incentive Plan (the “2018 Plan”). The 2018 Plan, as amended, permits the granting of 1,970,000 shares of Imunon common stock as equity awards in the form of incentive stock options, nonqualified stock options, restricted stock, restricted stock units, stock appreciation rights, other stock awards, performance awards, or in any combination of the foregoing.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there were a total of 1,975,073 shares of Imunon common stock reserved for issuance under the 2018 Plan, which were comprised of 1,751,551 shares of Imunon common stock subject to equity awards previously granted under the 2018 Plan and the Company’s 2007 Stock Incentive Plan and 223,522 shares of Imunon common stock available for future issuance under the 2018 Plan.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the Compensation Committee of the Board of Directors approved the grant of inducement stock options (the “Inducement Option Grants”) to purchase a total of 230,500 shares of Imunon common stock. Each Inducement Option Grant has a weighted exercise price of $0.98 per share.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$0.2 million of expense for period ended March 31, 2025 and $31,000 reversal for period ended March 31, 2024. Of these amounts, approximately $49,000 for the period ended March 31, 2025 and $65,000 for the period ended March 31, 2024 were charged to research and development expenses and $0.2 million of expense for the period ended March 31, 2025 and $96,000 reversal of expense for the period ended March 31, 2024 were charged to general and administrative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stock option awards and restricted stock grants, inclusive of awards granted under the 2018 Stock Plan and Inducement Option Grants for the three-months ended March 31, 2025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52"/>
        </w:trPr>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8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187"/>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6"/>
                <w:szCs w:val="16"/>
                <w:color w:val="auto"/>
              </w:rPr>
            </w:pPr>
          </w:p>
        </w:tc>
        <w:tc>
          <w:tcPr>
            <w:tcW w:w="12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Terms of</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38"/>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1,645,873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321,750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0.86</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terminated</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(25,272)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1.49</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March 31, 2025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1,942,351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1.78</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39,700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March 31, 2025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1,095,121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2.30</w:t>
            </w: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31, 2025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19,431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there was $0.5 million of total unrecognized compensation cost related to non-vested stock-based compensation arrangements. That cost is expected to be recognized over a period of three to four years. The weighted average grant date fair values of the stock options granted were $0.81 during the three-month periods ended March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43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6900" w:type="dxa"/>
            <w:vAlign w:val="bottom"/>
          </w:tcPr>
          <w:p>
            <w:pPr>
              <w:spacing w:after="0"/>
              <w:rPr>
                <w:sz w:val="20"/>
                <w:szCs w:val="20"/>
                <w:color w:val="auto"/>
              </w:rPr>
            </w:pPr>
          </w:p>
        </w:tc>
        <w:tc>
          <w:tcPr>
            <w:tcW w:w="2760" w:type="dxa"/>
            <w:vAlign w:val="bottom"/>
            <w:tcBorders>
              <w:bottom w:val="single" w:sz="8" w:color="auto"/>
            </w:tcBorders>
            <w:gridSpan w:val="3"/>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4.31 to 4.55%</w:t>
            </w: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7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110.74 to 115.63%</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111.82%</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76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9.0 to 10.0</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 to 10.0</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Warrants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three-month period ended March 31, 2025:</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6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5,155,060</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March 31, 2025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5,155,060</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March 31, 2025</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March 31, 2025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4.7 years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Leases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Lawrenceville, New Jersey Lease</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to $23,394. In April 2025, the Company renewed its Lawrenceville office lease until November 30, 2028 for 4,359 square feet (to be reduced to 4,011 following April 1, 2026) with monthly rent payments of approximately $10,361 to $10,863.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Huntsville, Alabama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March 31,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6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384,300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362,976</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370,235</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3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30,903</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3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1,148,414</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3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(140,366)</w:t>
            </w:r>
          </w:p>
        </w:tc>
      </w:tr>
      <w:tr>
        <w:trPr>
          <w:trHeight w:val="223"/>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57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2025, operating lease expense was $165,232 and cash paid for operating leases included in operating cash flows was $165,231. For the three-month period ended March 31, 2024, operating lease expense was $154,514 and cash paid for operating leases included in operating cash flows was $162,545.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its subsequent events from March 31, 2025, through the date these consolidated financial statements were issued.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Phase II clinical development studies. IMNN-001 works by instructing the body to produce safe and durable levels of powerful cancer-fighting molecules, such as interleukin-12 and interferon gamma, at the tumor site. Additionally, the Company has entered into a first-in-human study of its COVID-19 booster vaccine (IMNN-101). We will continue to leverage these modalities and to advance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 or 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we believe that our delivery systems are generally more efficient, cost effective and have a more favorable safety profile. We believe that these advantages place Imunon in a position to capitalize on this technology platform.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THERAPLAS MODALITY: IMNN-001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more than 60% of women dying within five years of diagnosis.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With the five-year survival rates for Stages III and IV at 41% and 20%, respectively, there remains a need for a therapy that not only reduces the recurrence rate but also meaningfully improves overall survival.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 resistant group has a platinum-free interval of shorter than six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in maintenance following front-line treatment, but few treatment options are left for women who are not eligible to receive PARP inhibitors and no product has ever demonstrated an OS improvement in the front-line treatment of newly diagnosed patients with ovarian cancer.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the therapeutic role of IL-12 in ovarian cancer is based on epidemiologic and clinical and preclinical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FDA accepted the Phase I dose-escalation clinical trial of IMNN-001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in neoadjuvant ovarian cancer (the “OVATION 1 Study”). The OVATION 1 Study was designed to:</w:t>
      </w:r>
    </w:p>
    <w:p>
      <w:pPr>
        <w:spacing w:after="0" w:line="159"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translational research findings from all evaluable patients were consistent with the earlier reports from analysis of the data and are summarized below:</w:t>
      </w:r>
    </w:p>
    <w:p>
      <w:pPr>
        <w:spacing w:after="0" w:line="225" w:lineRule="exact"/>
        <w:rPr>
          <w:sz w:val="20"/>
          <w:szCs w:val="20"/>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previous analyses the effects observed in the immunohistochemistry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w:t>
      </w:r>
    </w:p>
    <w:p>
      <w:pPr>
        <w:spacing w:after="0" w:line="27"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microenvironment from immunosuppressive to pro-immune stimulatory following treatment with IMNN-001. An increase in CD8+ to immunosuppressive T-cell populations was a leading indicator and believed to be a good predictor of improved OS; and</w:t>
      </w:r>
    </w:p>
    <w:p>
      <w:pPr>
        <w:spacing w:after="0" w:line="18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T-cell (Foxp3+), which was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the time of interval debulking surgery. IMNN-001 was well tolerated, and no dose-limiting toxicities were detected in the OVATION 1 Study. Intraperitoneal administration of IMNN-001 was feasible with broad patient acceptance.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15 patients in the Phase I portion and up to 95 patients in Phase II. The sample size is consistent with a Phase II trial designed to inform the design of a Phase III trial comparing IMNN-001 with neoadjuvant + adjuvant chemotherapy versus neoadjuvant + adjuvant chemotherapy alone. As a Phase II study, the OVATION 2 Study was not powered for statistical significance. The primary endpoint is PFS and the primary analysis would be conducted after at least 80 events had been observed or after all patients had been followed for at least 16 months, whichever was later. Additional endpoints included objective response rate, chemotherapy response score, and surgical response.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2021, the Company announced that it had received Fast Track designation from the FDA for IMNN-001 and also provided an update on the OVATION 2 Study.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had completed enrollment with 113 patients. In September 2023, the Company announced interim PFS and OS data with IMNN-001 in its Phase I/II OVATION 2 Study. Interim clinical data from the ITT population showed efficacy trends in PFS. Preliminary OS data followed a similar trend, showing an approximate 9-month improvement in the treatment arm over the control arm.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when the protocol was initiated as PARP inhibitors were approved after the OVATION 2 Study was initiated. However given the change in the standard of care, this subgroup was pre-specified in the statistical analysis plan prior to the study read out.</w:t>
      </w:r>
    </w:p>
    <w:p>
      <w:pPr>
        <w:spacing w:after="0" w:line="180"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announced database lock for the OVATION 2 Study. At that time, median OS and PFS had been reached, and all patients in the open-label study had achieved treatment observation duration of 16 months, as required by protocol to evaluate efficacy. On July 11, 2024, a scientific advisory board with DSMB members, principal investigators, and scientific experts was held to review efficacy and safety data from the OVATION 2 study.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2024, the Company announced positive topline results from the Phase II OVATION 2 Study. Highlights from patients treated with IMNN-001 plus standard-of-care in a first-line treatment setting include:</w:t>
      </w:r>
    </w:p>
    <w:p>
      <w:pPr>
        <w:spacing w:after="0" w:line="16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11.1 month increase in median OS compared with standard-of-care alone in the ITT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ITT population of 0.74, which indicates a 35% improvement in survival.</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approximately 90% of trial participants who received at least 20% of specified treatments per-protocol in both study arms, patients in the IMNN-001 arm had a 15.7 month increase in median OS, representing a further extension of life with a hazard ratio of 0.64, a 56% improvement in survival.</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40% of trial participants treated with a PARP inhibitor, the hazard ratio decreased further to 0.41, with median OS in the IMNN-001 treatment arm not yet reached at the time of database lock, compared with median OS of 37.1 months in the standard-of-care treatment arm.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PFS results, the trial’s primary endpoint, support the OS results with:</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three-month improvement in PFS compared with standard-of-care alone.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intent-to-treat population of 0.79, indicating a 27% improvement in delaying progression for the IMNN-001 treatment arm.</w:t>
      </w:r>
    </w:p>
    <w:p>
      <w:pPr>
        <w:spacing w:after="0" w:line="16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These initial results from the OVATION 2 Study were presented in a late-breaking session at the Society for Immunotherapy of Cancer (SITC) 39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Meeting in November 2024.</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11, 2024, a scientific advisory board was held with DSMB members, principal investigators, and scientific experts to discuss and seek input on the protocol synopsis for the Phase III trial. A protocol synopsis was submitted along with a briefing document for review and input at the End-of-Phase</w:t>
      </w:r>
    </w:p>
    <w:p>
      <w:pPr>
        <w:ind w:firstLine="8"/>
        <w:spacing w:after="0" w:line="260" w:lineRule="auto"/>
        <w:tabs>
          <w:tab w:leader="none" w:pos="1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(“EOP2”) meeting with the U.S. Food and Drug Administration focused on the Phase III study. The EOP2 meeting was conducted in the fourth quarter of 2024.</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outcome of the EOP2 in-person meeting with the U.S. Food and Drug Administration (FDA), supported the advancement of IMNN-001 for the treatment of advanced ovarian cancer into a Phase 3 pivotal study. The interaction with the FDA included an extensive review of data generated to date, including positive results from the recently completed Phase 2 OVATION 2 Study, which assessed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standard-of-care NACT alone in 112 patients with newly diagnosed advanced ovarian cancer. Treatment was also generally well tolerated, with no reports of cytokine release syndrome or any other serious immune-related adverse events.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825" w:gutter="0" w:footer="0" w:header="0"/>
        </w:sectPr>
      </w:pPr>
    </w:p>
    <w:bookmarkStart w:id="20" w:name="page21"/>
    <w:bookmarkEnd w:id="20"/>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held a Type C Chemistry, Manufacturing, and Controls (CMC) meeting with the FDA regarding production of IMNN-001 for the treatment of women with newly diagnosed advanced ovarian cancer. The goal of the meeting was to seek alignment and agreement with the FDA on key CMC topics to support IMNN-001 production for the planned Phase 3 pivotal trial and a potential future new biologic license application (BLA) submission. The meeting with the FDA included a review of the Company’s current good manufacturing practice (cGMP) clinical-scale and commercial manufacturing process for IMNN-001, conducted at the company’s manufacturing facility based in Huntsville, Alabama. The Agency agreed that the Company’s potency assay which measures interferon-gamma (IFN-γ) is acceptable for the Phase 3 clinical study and for use in a commercial setting for release of drug product. The FDA also agreed with the Company’s strategy to establish comparability of the core components of IMNN-001 produced by the Company with product previously produced through an external contract development and manufacturing organization.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2024, the Company announced additional clinical data from ongoing analyses of results from the Phase 2 OVATION 2 Study. The updated results, based on an additional seven months of patient monitoring, showed the hazard ratio (HR) decreased from 0.74 to 0.69 in the ITT population, with an increase in median overall survival (OS) from 11.1 to 13 months following treatment with IMNN-001 plus standard-of-care (SoC) neoadjuvant and adjuvant chemotherapy (NACT) versus SoC alone. More than one-third of patients in the trial survived more than 36 months from the point of study enrollment, with 62% of those surviving patients from the IMNN-001 treatment arm and 38% from the SoC arm. Over 10% of trial participants have reached 48 months or beyond. In April 2025, the Company announced that an IMNN-001 abstract was accepted for oral presentation at the 2025 ASCO annual meeting. The Company also plans to submit the results for publication in a peer-reviewed medical journal.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March 2025, the Company announced </w:t>
      </w:r>
      <w:r>
        <w:rPr>
          <w:rFonts w:ascii="Times New Roman" w:cs="Times New Roman" w:eastAsia="Times New Roman" w:hAnsi="Times New Roman"/>
          <w:sz w:val="18"/>
          <w:szCs w:val="18"/>
          <w:color w:val="202022"/>
        </w:rPr>
        <w:t>that the FDA is aligned with the protocol for the Phase 3 pivotal trial, called OVATION 3, of its lead candidate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022"/>
        </w:rPr>
        <w:t>IMNN-001 in development for the treatment of women with newly diagnosed advanced ovarian cancer. The Company is currently initiating trial sites and working with trial investigators to begin enrolling study participants.</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Phase 3 OVATION 3 trial will assess the safety and efficacy of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 of care (SoC) NACT alone. Study participants will be randomized 1:1 and include women with newly diagnosed advanced ovarian cancer (stage 3 or 4) who are eligible for neoadjuvant therapy, the intent-to-treat (ITT) population, with a sub-group of women positive for homologous recombination deficiency (HRD) including BRCA1 or BRCA2 mutations. Participants who are HRD positive will receive poly ADP-ribose polymerase (PARP) inhibitors as part of standard maintenance therapy. The primary endpoint of the study is overall survival (OS), and secondary endpoints are surgical response score, chemotherapy response score, clinical response and time to second-line treatment. The study will also assess several exploratory endpoints.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 Through 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being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fourteen patients were enrolled and treated in the study at the University of Texas MD Anderson Cancer Center and Memorial Sloan Kettering Cancer Center. John Hopkins Medicine Sidney Kimmel Cancer Care Center has been added as a clinical site for this study and is open to recruitment.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modality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Imunon’s PLACCINE DNA vaccine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development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have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the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 2021, the Company announced results from preclinical in vivo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proof-of-concept (“PoC”)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non-human primate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18, 2024, the Company announced that it received clearance from the FDA to begin a Phase I clinical trial with a seasonal COVID-19 booster vaccine. The Company filed an Investigational New Drug (IND) application for IMNN-101 in late February. The primary objectives of the Phase I study are to evaluate safety, tolerability, neutralizing antibody response, and the vaccine’s durability (duration of immunogenicity) in healthy adults. Secondary objectives of the study include evaluating the ability of the IMNN-101 vaccine to elicit binding antibodies and cellular responses and their associated durability. The Phase I study enrolled 24 subjects to evaluate three escalating doses of IMNN-101. For this study, IMMN-101 has been designed to protect against the SARS-CoV-2 Omicron XBB1.5 variant, in accordance with the FDA’s Vaccines and Related Biological Products Advisory Committee’s June 2023 announcement of the framework for updated COVID-19 doses.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the Company announced topline safety and immunogenicity data from ongoing analyses of results from the Company’s Phase 1 proof-of-concept clinical trial of IMNN-101. The Phase 1 study was conducted in 24 healthy volunteers as a seasonal COVID-19 vaccine, targeting the SARS-CoV-2 Omicron XBB1.5 spike antigen. IMNN-101 was administered as a single dose vaccine without a booster dose in study participants who were previously vaccinated against the Omicron XBB1.5 variant. Results demonstrated that IMNN-101 is safe and well-tolerated with no serious adverse effects. IMNN-101 induced a persistent 2- to 4-fold increase in serum neutralizing antibody (NAb) titers from baseline through Week 4, further increasing NAb titers between Week 2 and Week 4. The immune response was observed against the XBB1.5 variant and many newer variants following treatment, demonstrating the IMNN-101 vaccine’s cross-reactivity.</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participants in the Phase 1 trial had high baseline immune characteristics presumably from prior infection and multiple previous vaccinations against COVID-19 and ongoing infection as evidenced by the rise in viral nucleocapsid antigen during the study period. Modest increases in T cell responses were observed in this setting of trial participants having received multiple immunizations prior to the study.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Phase I trial was designed to establish PoC for IMNN-101 as an advancement in vaccine technology. Imunon intends to seek partnership and/or business development opportunities to develop the scientific and business case for IMNN-101 as a future vaccine to address viral mutations.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the Company had $2.9 million in cash and cash equivalents to fund its operations. The Company’s primary sources of cash have been proceeds from the issuance and sale of its common stock, including via its at-the-market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2024, includes an explanatory paragraph which expresses substantial doubt about our ability to continue as a going concern. See also Note 2 to the Condensed Consolidated Financial Statements contained in this Quarterly Report on Form 10-Q.</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plan includes private or public equity financings, collaborations, or other strategic transactions such as raising funds from outside investors via its ATM program and other potential funding sources The Company may not be able to obtain funding on acceptable terms, or at all. The terms of any financing may adversely affect the holdings or the rights of the Company’s stockholders. The Company’s ability to raise additional funds will depend, among other factors, on financial, economic and market conditions, many of which are outside of its control, and it may be unable to raise financing when needed, or on terms favorable to the Company. If the Company is unable to obtain sufficient capital to fund its operations it may be required to evaluate alternatives.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risks and uncertainties discussed in the 2024 Annual Report filed on February 27, 2025 with the SEC, among others, we are unable to estimate the duration and completion costs of our research and development projects or when, if ever, and to what extent we will receive cash inflows from the commercialization and sale of a product if one of our drug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and 2024 through the date of this Quarterly Report on Form 10-Q, we issued a total of 5.2 million shares of common stock as discussed below for approximately $9.2 million in net proceeds.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However, the Company’s ability to offer and sell its securities in a primary offering on the 2024 Registration Statement is limited by General Instruction I.B.6 of Form S-3 (the “Baby Shelf Limitation”), which limits the amount that the Company can offer to up to one-third of its public float during any trailing 12-month period. The Company would no longer be subject to the Baby Shelf Limitation if its public float exceeds $75 million. In the first quarter of 2025, the Company sold 120,047 shares of common stock for net proceeds of $105,693. The Company did not sell any shares of common stock under the ATM program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2024 Annual Report on Form 10-K for the year ended December 31, 2024 filed with the SEC on February 27, 2025. See Note 3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MARCH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our net loss was $4.1 million compared to a net loss of $4.9 million for the same three-month period of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$2.9 million in cash and cash equivalents, short-term investments and interest receivable at March 31, 2025, such conditions raise substantial doubts about the Company’s ability to continue as a going concern. Based on the above, management has determined there is substantial doubt regarding our ability to continue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214</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(73)</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(513)</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477</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508</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1,215</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(1,215)</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339</w:t>
            </w:r>
          </w:p>
        </w:tc>
        <w:tc>
          <w:tcPr>
            <w:tcW w:w="300" w:type="dxa"/>
            <w:vAlign w:val="bottom"/>
          </w:tcPr>
          <w:p>
            <w:pPr>
              <w:spacing w:after="0"/>
              <w:rPr>
                <w:sz w:val="19"/>
                <w:szCs w:val="19"/>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67</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1,717</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263</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were $2.2 million in the first quarter of 2025 compared to $3.3 million in same period of 2024. Clinical costs associated with the OVATION program were $0.2 million in the first quarter of 2025 compared to $0.3 million in 2024. Clinical costs associated with the PlaCCine vaccine trial were $58,000 in the first quarter of 2025 compared to $0.6 million in the first quarter of 2024. Other clinical and regulatory costs were $0.6 million the first quarter of 2025 compared to $0.5 million in the same period of 2024. R&amp;D costs associated with the development of IMNN-001 to support the OVATION program were $0.9 million in the first quarter of 2025 compared to $0.4 million in same period of 2024. The development of the PLACCINE DNA vaccine technology platform was $1.2 million in the first quarter of 2024. CMC costs were $0.4 million in the first quarter of 2025 compared to $0.3 million in the same period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$2.0 million in the first quarter of 2025 compared to $1.7 million in the same period of 2024. The increase was primarily attributable to higher employee-related expenses of $0.5 million offset by lower legal expenses of $0.2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the Company’s short-term investments was $43,000 for the first quarter of 2025 compared to $82,000 for the same period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product licensing agreements.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income, and we had an accumulated deficit of $411 million at March 31,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2025, we had total current assets of $5.1 million and current liabilities of $5.8 million, resulting in a negative net working capital of $0.7 million. At March 31, 2025, we had cash and cash equivalents of $2.9 million. At December 31, 2024, we had total current assets of $8.0 million and current liabilities of $4.8 million, resulting in net working capital of $3.2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first three months of 2025 was $2.8 million. Net cash used by investing activities was $0.3 million during the first three months of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continue to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drug candidates, or products we would otherwise seek to develop or commercialize on our own, or to license the rights to our technologies, drug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drug candidates, or products on terms not favorable to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2025,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under “Risk Factors” in Part I, Item 1A of our 2024 Annual Report on Form 10-K. The risks and uncertainties described in our 2024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jc w:val="both"/>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36">
        <w:r>
          <w:rPr>
            <w:rFonts w:ascii="Times New Roman" w:cs="Times New Roman" w:eastAsia="Times New Roman" w:hAnsi="Times New Roman"/>
            <w:sz w:val="18"/>
            <w:szCs w:val="18"/>
            <w:u w:val="single" w:color="auto"/>
            <w:color w:val="0000EE"/>
          </w:rPr>
          <w:t>Offer Letter of Employment, dated February 1, 2025, between Imunon, Inc. and Douglas Faller,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Current Report on Form 8-K of the Company filed on February 10, 2025 (SEC File No. 001-15911).</w:t>
        </w:r>
      </w:hyperlink>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780" w:hanging="779"/>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Quarterly Report on Form 10-Q for the quarter ended March 31, 2025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0" w:lineRule="exact"/>
        <w:rPr>
          <w:sz w:val="20"/>
          <w:szCs w:val="20"/>
          <w:color w:val="auto"/>
        </w:rPr>
      </w:pPr>
    </w:p>
    <w:p>
      <w:pPr>
        <w:ind w:left="780" w:hanging="772"/>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780" w:hanging="772"/>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both"/>
        <w:ind w:left="780" w:hanging="772"/>
        <w:spacing w:after="0" w:line="261"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780" w:hanging="77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ind w:left="5540" w:right="4680" w:hanging="5532"/>
        <w:spacing w:after="0" w:line="532" w:lineRule="auto"/>
        <w:tabs>
          <w:tab w:leader="none" w:pos="7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12, 2025</w:t>
      </w:r>
      <w:r>
        <w:rPr>
          <w:sz w:val="20"/>
          <w:szCs w:val="20"/>
          <w:color w:val="auto"/>
        </w:rPr>
        <w:tab/>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Gaiero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Gaiero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Stacy R. Lindborg Ph.D., certify that:</w:t>
      </w:r>
    </w:p>
    <w:p>
      <w:pPr>
        <w:spacing w:after="0" w:line="225" w:lineRule="exact"/>
        <w:rPr>
          <w:sz w:val="20"/>
          <w:szCs w:val="20"/>
          <w:color w:val="auto"/>
        </w:rPr>
      </w:pPr>
    </w:p>
    <w:p>
      <w:pPr>
        <w:ind w:left="660" w:hanging="39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Ph.D.</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Gaiero, certify that:</w:t>
      </w:r>
    </w:p>
    <w:p>
      <w:pPr>
        <w:spacing w:after="0" w:line="225" w:lineRule="exact"/>
        <w:rPr>
          <w:sz w:val="20"/>
          <w:szCs w:val="20"/>
          <w:color w:val="auto"/>
        </w:rPr>
      </w:pPr>
    </w:p>
    <w:p>
      <w:pPr>
        <w:ind w:left="660" w:hanging="39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12,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Gaiero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Gaiero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2025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 D.</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12, 2025</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Gaiero</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Gaiero</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8"/>
        <w:spacing w:after="0" w:line="266" w:lineRule="auto"/>
        <w:tabs>
          <w:tab w:leader="none" w:pos="1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amp;"/>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upperLetter"/>
      <w:start w:val="35"/>
    </w:lvl>
    <w:lvl w:ilvl="1">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36" Type="http://schemas.openxmlformats.org/officeDocument/2006/relationships/hyperlink" Target="https://www.sec.gov/Archives/edgar/data/749647/00014931522500553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2025-05-12T07:22:45Z</dcterms:created>
  <dcterms:modified xsi:type="dcterms:W3CDTF">2025-05-12T07:22:45Z</dcterms:modified>
</cp:coreProperties>
</file>