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3840" w:right="2420" w:hanging="3832"/>
        <w:spacing w:after="0" w:line="501"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2016</w:t>
      </w: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220" w:hanging="3412"/>
        <w:spacing w:after="0" w:line="501" w:lineRule="auto"/>
        <w:tabs>
          <w:tab w:leader="none" w:pos="50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1980"/>
              <w:spacing w:after="0"/>
              <w:rPr>
                <w:sz w:val="20"/>
                <w:szCs w:val="20"/>
                <w:color w:val="auto"/>
              </w:rPr>
            </w:pPr>
            <w:r>
              <w:rPr>
                <w:rFonts w:ascii="Arial" w:cs="Arial" w:eastAsia="Arial" w:hAnsi="Arial"/>
                <w:sz w:val="18"/>
                <w:szCs w:val="18"/>
                <w:b w:val="1"/>
                <w:bCs w:val="1"/>
                <w:color w:val="auto"/>
              </w:rPr>
              <w:t>Delaware</w:t>
            </w:r>
          </w:p>
        </w:tc>
        <w:tc>
          <w:tcPr>
            <w:tcW w:w="5800" w:type="dxa"/>
            <w:vAlign w:val="bottom"/>
            <w:gridSpan w:val="2"/>
          </w:tcPr>
          <w:p>
            <w:pPr>
              <w:jc w:val="right"/>
              <w:ind w:right="273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rPr>
              <w:t>(I.R.S. Employer Identification Number)</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Lawrenceville </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6140" w:space="720"/>
            <w:col w:w="1300" w:space="720"/>
            <w:col w:w="2540"/>
          </w:cols>
          <w:pgMar w:left="240" w:top="22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220"/>
            <w:col w:w="4380" w:space="720"/>
            <w:col w:w="1980" w:space="320"/>
            <w:col w:w="226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9, 2016, the Registrant had 26,078,814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89"/>
              </w:rPr>
              <w:t>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Statements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Condensed Consolidated Balance Sheets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Condensed Consolidated Statements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Condensed Consolidated Statements of Comprehensive Loss</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Condensed Consolidated Statements of Cash Flows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60" w:type="dxa"/>
            <w:vAlign w:val="bottom"/>
          </w:tcPr>
          <w:p>
            <w:pPr>
              <w:ind w:left="320"/>
              <w:spacing w:after="0"/>
              <w:rPr>
                <w:sz w:val="20"/>
                <w:szCs w:val="20"/>
                <w:color w:val="auto"/>
              </w:rPr>
            </w:pPr>
            <w:r>
              <w:rPr>
                <w:rFonts w:ascii="Arial" w:cs="Arial" w:eastAsia="Arial" w:hAnsi="Arial"/>
                <w:sz w:val="18"/>
                <w:szCs w:val="18"/>
                <w:color w:val="auto"/>
              </w:rPr>
              <w:t>Notes to Condensed Consolidated 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60" w:type="dxa"/>
            <w:vAlign w:val="bottom"/>
          </w:tcPr>
          <w:p>
            <w:pPr>
              <w:ind w:left="1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3.</w:t>
            </w:r>
          </w:p>
        </w:tc>
        <w:tc>
          <w:tcPr>
            <w:tcW w:w="986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6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1.</w:t>
            </w:r>
          </w:p>
        </w:tc>
        <w:tc>
          <w:tcPr>
            <w:tcW w:w="986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 Factors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60" w:type="dxa"/>
            <w:vAlign w:val="bottom"/>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Defaults Upon Senior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60" w:type="dxa"/>
            <w:vAlign w:val="bottom"/>
          </w:tcPr>
          <w:p>
            <w:pPr>
              <w:ind w:left="160"/>
              <w:spacing w:after="0"/>
              <w:rPr>
                <w:sz w:val="20"/>
                <w:szCs w:val="20"/>
                <w:color w:val="auto"/>
              </w:rPr>
            </w:pPr>
            <w:r>
              <w:rPr>
                <w:rFonts w:ascii="Arial" w:cs="Arial" w:eastAsia="Arial" w:hAnsi="Arial"/>
                <w:sz w:val="18"/>
                <w:szCs w:val="18"/>
                <w:color w:val="auto"/>
              </w:rPr>
              <w:t>Mine Safety Disclosures</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Information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6.</w:t>
            </w:r>
          </w:p>
        </w:tc>
        <w:tc>
          <w:tcPr>
            <w:tcW w:w="9860" w:type="dxa"/>
            <w:vAlign w:val="bottom"/>
          </w:tcPr>
          <w:p>
            <w:pPr>
              <w:ind w:left="160"/>
              <w:spacing w:after="0"/>
              <w:rPr>
                <w:sz w:val="20"/>
                <w:szCs w:val="20"/>
                <w:color w:val="auto"/>
              </w:rPr>
            </w:pPr>
            <w:r>
              <w:rPr>
                <w:rFonts w:ascii="Arial" w:cs="Arial" w:eastAsia="Arial" w:hAnsi="Arial"/>
                <w:sz w:val="18"/>
                <w:szCs w:val="18"/>
                <w:color w:val="auto"/>
              </w:rPr>
              <w:t>Exhibits</w:t>
            </w: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8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its wholly-owned subsidiaries CLSN Laboratories, Inc., also a Delaware corporation, and Celsion GmbH, a limited liability company in Zug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 w:name="page4"/>
    <w:bookmarkEnd w:id="3"/>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securities – available for sale,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interest receivable on investment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Advances, deposits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ind w:left="180" w:right="340" w:hanging="161"/>
        <w:spacing w:after="0" w:line="282"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 and amortization of $2,418,483 and</w:t>
      </w:r>
      <w:r>
        <w:rPr>
          <w:rFonts w:ascii="Arial" w:cs="Arial" w:eastAsia="Arial" w:hAnsi="Arial"/>
          <w:sz w:val="18"/>
          <w:szCs w:val="18"/>
          <w:b w:val="1"/>
          <w:bCs w:val="1"/>
          <w:color w:val="auto"/>
        </w:rPr>
        <w:t xml:space="preserve"> </w:t>
      </w:r>
      <w:r>
        <w:rPr>
          <w:rFonts w:ascii="Arial" w:cs="Arial" w:eastAsia="Arial" w:hAnsi="Arial"/>
          <w:sz w:val="18"/>
          <w:szCs w:val="18"/>
          <w:color w:val="auto"/>
        </w:rPr>
        <w:t>$2,058,483,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Security deposit on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Patent licensing fees and other assets, net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84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4,184,222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9,265,144</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4,515,479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10,799,890</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26,729</w:t>
            </w:r>
          </w:p>
        </w:tc>
      </w:tr>
      <w:tr>
        <w:trPr>
          <w:trHeight w:val="230"/>
        </w:trPr>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326,424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189,553</w:t>
            </w: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9,030,649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20,281,316</w:t>
            </w:r>
          </w:p>
        </w:tc>
        <w:tc>
          <w:tcPr>
            <w:tcW w:w="20" w:type="dxa"/>
            <w:vAlign w:val="bottom"/>
          </w:tcPr>
          <w:p>
            <w:pPr>
              <w:spacing w:after="0"/>
              <w:rPr>
                <w:sz w:val="18"/>
                <w:szCs w:val="18"/>
                <w:color w:val="auto"/>
              </w:rPr>
            </w:pPr>
          </w:p>
        </w:tc>
      </w:tr>
      <w:tr>
        <w:trPr>
          <w:trHeight w:val="628"/>
        </w:trPr>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543,800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854,872</w:t>
            </w:r>
          </w:p>
        </w:tc>
        <w:tc>
          <w:tcPr>
            <w:tcW w:w="20" w:type="dxa"/>
            <w:vAlign w:val="bottom"/>
          </w:tcPr>
          <w:p>
            <w:pPr>
              <w:spacing w:after="0"/>
              <w:rPr>
                <w:sz w:val="24"/>
                <w:szCs w:val="24"/>
                <w:color w:val="auto"/>
              </w:rPr>
            </w:pPr>
          </w:p>
        </w:tc>
      </w:tr>
      <w:tr>
        <w:trPr>
          <w:trHeight w:val="627"/>
        </w:trPr>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25,801,728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25,801,728</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1,976,101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1,976,101</w:t>
            </w:r>
          </w:p>
        </w:tc>
      </w:tr>
      <w:tr>
        <w:trPr>
          <w:trHeight w:val="216"/>
        </w:trPr>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230"/>
        </w:trPr>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8,761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14,386</w:t>
            </w:r>
          </w:p>
        </w:tc>
      </w:t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27,886,590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27,892,215</w:t>
            </w:r>
          </w:p>
        </w:tc>
        <w:tc>
          <w:tcPr>
            <w:tcW w:w="20" w:type="dxa"/>
            <w:vAlign w:val="bottom"/>
          </w:tcPr>
          <w:p>
            <w:pPr>
              <w:spacing w:after="0"/>
              <w:rPr>
                <w:sz w:val="18"/>
                <w:szCs w:val="18"/>
                <w:color w:val="auto"/>
              </w:rPr>
            </w:pPr>
          </w:p>
        </w:tc>
      </w:tr>
      <w:tr>
        <w:trPr>
          <w:trHeight w:val="42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37,461,039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49,028,403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660" w:space="460"/>
            <w:col w:w="3200"/>
          </w:cols>
          <w:pgMar w:left="240" w:top="58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BALANCE SHEETS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3"/>
              </w:rPr>
              <w:t>(Continued)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3,025,943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2,830,227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1,919,769</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Notes payable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3,593,112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4,073,716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9,764,484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9,323,712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Notes payable – non-current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2,350,018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14,477,794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13,921,412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 –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47,597</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26,888,894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28,642,739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 $0.01 par value (100,000 shares authorized and no shares issued or outstanding at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30, 2016 and December 31, 2015,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 $0.01 par value (112,500,000 shares authorized; 26,083,493 and 23,395,211 shares issued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w w:val="94"/>
              </w:rPr>
              <w:t>at September 30, 2016 and December 31, 2015, respectively and 26,060,573 and 23,319,287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ind w:left="320"/>
              <w:spacing w:after="0"/>
              <w:rPr>
                <w:sz w:val="20"/>
                <w:szCs w:val="20"/>
                <w:color w:val="auto"/>
              </w:rPr>
            </w:pPr>
            <w:r>
              <w:rPr>
                <w:rFonts w:ascii="Arial" w:cs="Arial" w:eastAsia="Arial" w:hAnsi="Arial"/>
                <w:sz w:val="18"/>
                <w:szCs w:val="18"/>
                <w:color w:val="auto"/>
              </w:rPr>
              <w:t>outstanding at September 30, 2016 and December 31, 2015,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260,835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233,952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246,401,410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239,668,235</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(235,673,273)</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(218,130,360)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10,989,436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21,767,969</w:t>
            </w: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Treasury stock, at cost (22,920 and 75,924 shares at September 30, 2016 and December 31, 2015,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(417,291)</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(1,382,305)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10,572,145</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20,385,664</w:t>
            </w:r>
          </w:p>
        </w:tc>
        <w:tc>
          <w:tcPr>
            <w:tcW w:w="1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37,461,039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jc w:val="center"/>
              <w:ind w:left="333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000" w:type="dxa"/>
            <w:vAlign w:val="bottom"/>
            <w:gridSpan w:val="2"/>
          </w:tcPr>
          <w:p>
            <w:pPr>
              <w:jc w:val="center"/>
              <w:ind w:left="33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34"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5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CELSION CORPORATION</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58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9"/>
              </w:rPr>
              <w:t>CONDENSED CONSOLIDATED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580" w:type="dxa"/>
            <w:vAlign w:val="bottom"/>
            <w:gridSpan w:val="4"/>
          </w:tcPr>
          <w:p>
            <w:pPr>
              <w:jc w:val="center"/>
              <w:ind w:left="50"/>
              <w:spacing w:after="0"/>
              <w:rPr>
                <w:sz w:val="20"/>
                <w:szCs w:val="20"/>
                <w:color w:val="auto"/>
              </w:rPr>
            </w:pPr>
            <w:r>
              <w:rPr>
                <w:rFonts w:ascii="Arial" w:cs="Arial" w:eastAsia="Arial" w:hAnsi="Arial"/>
                <w:sz w:val="18"/>
                <w:szCs w:val="18"/>
                <w:b w:val="1"/>
                <w:bCs w:val="1"/>
                <w:color w:val="auto"/>
                <w:w w:val="98"/>
              </w:rPr>
              <w:t>STATEMENTS OF OPERATIONS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0" w:type="dxa"/>
            <w:vAlign w:val="bottom"/>
            <w:gridSpan w:val="2"/>
          </w:tcPr>
          <w:p>
            <w:pPr>
              <w:jc w:val="center"/>
              <w:ind w:left="1210"/>
              <w:spacing w:after="0"/>
              <w:rPr>
                <w:sz w:val="20"/>
                <w:szCs w:val="20"/>
                <w:color w:val="auto"/>
              </w:rPr>
            </w:pPr>
            <w:r>
              <w:rPr>
                <w:rFonts w:ascii="Arial" w:cs="Arial" w:eastAsia="Arial" w:hAnsi="Arial"/>
                <w:sz w:val="18"/>
                <w:szCs w:val="18"/>
                <w:b w:val="1"/>
                <w:bCs w:val="1"/>
                <w:color w:val="auto"/>
                <w:w w:val="93"/>
              </w:rPr>
              <w:t>(Unaudited)</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24"/>
                <w:szCs w:val="2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4,225,132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2,883,453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11,002,675</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10,957,560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1,496,471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1,483,661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4,888,301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5,317,344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5,721,603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4,367,114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15,890,976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16,274,904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(5,596,603)</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(4,242,114)</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(15,515,976)</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(15,899,904)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(Loss) gain from change in valuation of earn-out milestone liability</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(662,410)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282,950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(556,382)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ind w:left="480"/>
              <w:spacing w:after="0"/>
              <w:rPr>
                <w:sz w:val="20"/>
                <w:szCs w:val="20"/>
                <w:color w:val="auto"/>
              </w:rPr>
            </w:pPr>
            <w:r>
              <w:rPr>
                <w:rFonts w:ascii="Arial" w:cs="Arial" w:eastAsia="Arial" w:hAnsi="Arial"/>
                <w:sz w:val="18"/>
                <w:szCs w:val="18"/>
                <w:color w:val="auto"/>
              </w:rPr>
              <w:t>Loss from change in valuation of common stock warrant liability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 income, net</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(161,025)</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(322,696)</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(608,576)</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(1,075,258)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(813,084)</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(25,299)</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(1,141,161)</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(1,047,322)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(6,409,687)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(4,267,413)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(16,657,137)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(16,947,226)</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Basic and diluted</w:t>
            </w:r>
          </w:p>
        </w:tc>
        <w:tc>
          <w:tcPr>
            <w:tcW w:w="2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960"/>
              <w:spacing w:after="0"/>
              <w:rPr>
                <w:sz w:val="20"/>
                <w:szCs w:val="20"/>
                <w:color w:val="auto"/>
              </w:rPr>
            </w:pPr>
            <w:r>
              <w:rPr>
                <w:rFonts w:ascii="Arial" w:cs="Arial" w:eastAsia="Arial" w:hAnsi="Arial"/>
                <w:sz w:val="18"/>
                <w:szCs w:val="18"/>
                <w:b w:val="1"/>
                <w:bCs w:val="1"/>
                <w:color w:val="auto"/>
              </w:rPr>
              <w:t>Basic and diluted</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27,905,261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23,023,402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25,146,573</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21,335,228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gridSpan w:val="5"/>
          </w:tcPr>
          <w:p>
            <w:pPr>
              <w:jc w:val="center"/>
              <w:ind w:left="393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60" w:type="dxa"/>
            <w:vAlign w:val="bottom"/>
            <w:gridSpan w:val="5"/>
          </w:tcPr>
          <w:p>
            <w:pPr>
              <w:jc w:val="center"/>
              <w:ind w:left="397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7"/>
          </w:tcPr>
          <w:p>
            <w:pPr>
              <w:jc w:val="center"/>
              <w:ind w:left="3610"/>
              <w:spacing w:after="0"/>
              <w:rPr>
                <w:sz w:val="20"/>
                <w:szCs w:val="20"/>
                <w:color w:val="auto"/>
              </w:rPr>
            </w:pPr>
            <w:r>
              <w:rPr>
                <w:rFonts w:ascii="Arial" w:cs="Arial" w:eastAsia="Arial" w:hAnsi="Arial"/>
                <w:sz w:val="18"/>
                <w:szCs w:val="18"/>
                <w:b w:val="1"/>
                <w:bCs w:val="1"/>
                <w:color w:val="auto"/>
                <w:w w:val="99"/>
              </w:rPr>
              <w:t>STATEMENTS OF COMPREHENSIVE LOSS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3"/>
          </w:tcPr>
          <w:p>
            <w:pPr>
              <w:jc w:val="center"/>
              <w:ind w:left="499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w w:val="98"/>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4"/>
              </w:rPr>
              <w:t>Realized loss on investment securities recognized in investment income, net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(6,409,687)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(4,267,413)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(16,657,137)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(16,947,226)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(6,409,223)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(4,264,132</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(16,652,815)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(16,932,228)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jc w:val="center"/>
              <w:ind w:left="35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80" w:type="dxa"/>
            <w:vAlign w:val="bottom"/>
          </w:tcPr>
          <w:p>
            <w:pPr>
              <w:jc w:val="center"/>
              <w:ind w:left="3510"/>
              <w:spacing w:after="0"/>
              <w:rPr>
                <w:sz w:val="20"/>
                <w:szCs w:val="20"/>
                <w:color w:val="auto"/>
              </w:rPr>
            </w:pPr>
            <w:r>
              <w:rPr>
                <w:rFonts w:ascii="Arial" w:cs="Arial" w:eastAsia="Arial" w:hAnsi="Arial"/>
                <w:sz w:val="18"/>
                <w:szCs w:val="18"/>
                <w:b w:val="1"/>
                <w:bCs w:val="1"/>
                <w:color w:val="auto"/>
                <w:w w:val="99"/>
              </w:rPr>
              <w:t>CONDENSED CONSOLIDATED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jc w:val="center"/>
              <w:ind w:left="3510"/>
              <w:spacing w:after="0"/>
              <w:rPr>
                <w:sz w:val="20"/>
                <w:szCs w:val="20"/>
                <w:color w:val="auto"/>
              </w:rPr>
            </w:pPr>
            <w:r>
              <w:rPr>
                <w:rFonts w:ascii="Arial" w:cs="Arial" w:eastAsia="Arial" w:hAnsi="Arial"/>
                <w:sz w:val="18"/>
                <w:szCs w:val="18"/>
                <w:b w:val="1"/>
                <w:bCs w:val="1"/>
                <w:color w:val="auto"/>
                <w:w w:val="98"/>
              </w:rPr>
              <w:t>STATEMENTS OF CASH FLOWS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jc w:val="center"/>
              <w:ind w:left="351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(16,657,137)</w:t>
            </w: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(16,947,226)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365,625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common stock warrant liability</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556,382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Stock-based compensation costs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1,331,094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1,616,864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out of treasury</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198,806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Loss realized on sale of investment securities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Accrued interest on short term investments</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22,205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deposits and other current assets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(136,871)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(1,185,710)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(13,716,405)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(16,931,516)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(4,515,125)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10,800,000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28,494,325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of security deposit on letter of credit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(48,928)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Net cash provided by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6,235,947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7,357,401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5,428,965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7,163,068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(3,029,429)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2,399,536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4,462,109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(5,080,922)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(5,112,006)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12,686,881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4,184,222</w:t>
            </w:r>
          </w:p>
        </w:tc>
        <w:tc>
          <w:tcPr>
            <w:tcW w:w="160" w:type="dxa"/>
            <w:vAlign w:val="bottom"/>
          </w:tcPr>
          <w:p>
            <w:pPr>
              <w:spacing w:after="0"/>
              <w:rPr>
                <w:sz w:val="18"/>
                <w:szCs w:val="18"/>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7,574,875</w:t>
            </w:r>
          </w:p>
        </w:tc>
        <w:tc>
          <w:tcPr>
            <w:tcW w:w="0" w:type="dxa"/>
            <w:vAlign w:val="bottom"/>
          </w:tcPr>
          <w:p>
            <w:pPr>
              <w:spacing w:after="0"/>
              <w:rPr>
                <w:sz w:val="1"/>
                <w:szCs w:val="1"/>
                <w:color w:val="auto"/>
              </w:rPr>
            </w:pPr>
          </w:p>
        </w:tc>
      </w:tr>
      <w:tr>
        <w:trPr>
          <w:trHeight w:val="20"/>
        </w:trPr>
        <w:tc>
          <w:tcPr>
            <w:tcW w:w="78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409,770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Corporation, a Delaware corporation based in Lawrenceville, New Jersey, its wholly-owned subsidiaries CLSN Laboratories, Inc., also a Delaware corporation, and Celsion GmbH, a limited liability company in Zug Switzerland,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CLSN Laboratories, Inc. and Celsion GmbH,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nine month periods ended September 30, 2016 are not necessarily indicative of the results that may be expected for any other interim period(s) or for any full year. For further information, refer to the financial statements and notes thereto included in the Company’s Annual Report on Form 10-K and Form 10K/A for the fiscal year ended December 31, 2015 filed with the Securities and Exchange Commission (SEC) on March 30, 2016 and April 29, 2016,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Management’s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incurred an accumulated deficit of $236 million through September 30, 2016. In addition, the Company has incurred negative cash flow from operations since it started the business. The Company has spent, and expects to continue to spend, substantial amounts in connection with implementing its business strategy, including the planned product development efforts, clinical trials, and research and discovery efforts.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380" w:hanging="27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3" w:lineRule="exact"/>
        <w:rPr>
          <w:rFonts w:ascii="Arial" w:cs="Arial" w:eastAsia="Arial" w:hAnsi="Arial"/>
          <w:sz w:val="18"/>
          <w:szCs w:val="18"/>
          <w:color w:val="auto"/>
        </w:rPr>
      </w:pPr>
    </w:p>
    <w:p>
      <w:pPr>
        <w:ind w:left="380" w:hanging="27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9" w:lineRule="exact"/>
        <w:rPr>
          <w:rFonts w:ascii="Arial" w:cs="Arial" w:eastAsia="Arial" w:hAnsi="Arial"/>
          <w:sz w:val="18"/>
          <w:szCs w:val="18"/>
          <w:color w:val="auto"/>
        </w:rPr>
      </w:pPr>
    </w:p>
    <w:p>
      <w:pPr>
        <w:ind w:left="380" w:hanging="27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380" w:hanging="27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3" w:lineRule="exact"/>
        <w:rPr>
          <w:rFonts w:ascii="Arial" w:cs="Arial" w:eastAsia="Arial" w:hAnsi="Arial"/>
          <w:sz w:val="18"/>
          <w:szCs w:val="18"/>
          <w:color w:val="auto"/>
        </w:rPr>
      </w:pPr>
    </w:p>
    <w:p>
      <w:pPr>
        <w:ind w:left="380" w:hanging="27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9" w:lineRule="exact"/>
        <w:rPr>
          <w:rFonts w:ascii="Arial" w:cs="Arial" w:eastAsia="Arial" w:hAnsi="Arial"/>
          <w:sz w:val="18"/>
          <w:szCs w:val="18"/>
          <w:color w:val="auto"/>
        </w:rPr>
      </w:pPr>
    </w:p>
    <w:p>
      <w:pPr>
        <w:ind w:left="380" w:right="820" w:hanging="270"/>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ind w:left="380" w:hanging="27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9" w:lineRule="exact"/>
        <w:rPr>
          <w:rFonts w:ascii="Arial" w:cs="Arial" w:eastAsia="Arial" w:hAnsi="Arial"/>
          <w:sz w:val="18"/>
          <w:szCs w:val="18"/>
          <w:color w:val="auto"/>
        </w:rPr>
      </w:pPr>
    </w:p>
    <w:p>
      <w:pPr>
        <w:ind w:left="380" w:hanging="27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9" w:lineRule="exact"/>
        <w:rPr>
          <w:rFonts w:ascii="Arial" w:cs="Arial" w:eastAsia="Arial" w:hAnsi="Arial"/>
          <w:sz w:val="18"/>
          <w:szCs w:val="18"/>
          <w:color w:val="auto"/>
        </w:rPr>
      </w:pPr>
    </w:p>
    <w:p>
      <w:pPr>
        <w:ind w:left="380" w:hanging="27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will be required to obtain additional funding in order to continue the development of its current product candidates within the anticipated time periods, if at all, and to continue to fund operations. As more fully discussed in Note 11, the Company has $7.5 million available under a controlled equity offering facility it has with Cantor Fitzgerald &amp; Co. Besides this equity facility, the Company does not have any committed sources of financing at this time, and there is substantial uncertainty whether additional funding will be available when needed on terms that will be acceptable to it, or at all. If the Company is not able to obtain financing when needed, there would be substantial doubt as to the Company's ability to continue as a going concern. As a result, the Company may have to significantly limit its operations and its business, financial condition and results of operations would be materially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This guidance is intended to improve and converge with international standards the financial reporting requirements for revenue from contracts with customers. In August 2015, the FASB issued Accounting Standard Update No. 2015-14 which delayed the effective date of Topic 606. It will be effective for our first quarter of 2018 and early adoption is only permitted for reporting periods beginning after December 15, 2016 including interim reporting periods within that period.</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August 2014, the FASB issued Accounting Standards Update No. 2014-15. This standard provides guidance which defines management's responsibility to evaluate whether there is substantial doubt about an entity's ability to continue as a going concern and to provide related footnote disclosures. This guidance is effective for the annual period ending after December 15, 2016, and for annual periods and interim periods thereafter. Early adoption is permitted. Management is currently evaluating the impact of the adoption of this standard on its condensed consolidated financial statements.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(ASU Subtopic 835-30). The new standard requires that debt issuance costs related to a recognized debt liability be presented in the balance sheet as a direct deduction from the carrying amount of that debt liability, consistent with debt discounts. ASU Subtopic 835-30 became effective for the Company beginning January 1, 2016 and was applied retrospectively. This adoption resulted in the reclassification of unamortized deferred financing fees related to the Company’s notes payable from other assets totaling $6,151 and $26,131 as of September 30, 2016 and December 31, 2015,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Accounting Standards Update No 2016-09, Compensation – Stock Compensation (Topic 718). The new standard simplifies several aspects of the accounting for employee share-based payment transactions, including the accounting for income taxes, forfeitures, and statutory tax withholding requirements, as well as classification in the statement of cash flows. The new standard is effective for public companies for annual reporting periods beginning after December 15, 2016, including interim periods within those annual reporting periods; however, early adoption is allowed. The Company is currently evaluating the impact of the pending adoption of the new standard on the Company’s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nine month periods ended September 30, 2016, the total number of shares of common stock issuable upon exercise of warrants and equity awards was 18,946,371. The Pre-funded Series B Warrants (as more fully described in Note 11 of these financial statements) convertible into shares of the Company’s common stock totaling 1,850,000 are considered issued in calculating basic loss per share. For the three and nine month periods ended September 30, 2016, diluted loss per common share was the same as basic loss per common share as the other 17,096,371 warrants and equity awards that were convertible into shares of the Company’s common stock were excluded from the calculation of diluted earnings per common share as their effect would have been anti-dilutive.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number of shares of common stock issuable upon exercise of warrants and equity awards were 8,110,136 for the three and nine month periods ended September 30, 2015. For the three and nine month periods ended September 30, 2015, diluted loss per common share was the same as basic loss per common share as all options and all warrants that were convertible into shares of the Company’s common stock were excluded from the calculation of diluted earnings attributable to common shareholders per common share as their effect would have been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Securities -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 term investments available for sale of $4,515,479 and $10,799,890 as of September 30, 2016 and December 31, 2015, respectively, consist of certificates of deposit and corporate debt securities. They are valued at estimated fair value, with unrealized gains and losses reported as a separate component of stockholders’ equity in Accumulated Other Comprehensive Income.</w:t>
      </w:r>
    </w:p>
    <w:p>
      <w:pPr>
        <w:spacing w:after="0" w:line="18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w:t>
      </w:r>
    </w:p>
    <w:p>
      <w:pPr>
        <w:spacing w:after="0"/>
        <w:rPr>
          <w:sz w:val="20"/>
          <w:szCs w:val="20"/>
          <w:color w:val="auto"/>
        </w:rPr>
      </w:pPr>
      <w:r>
        <w:rPr>
          <w:rFonts w:ascii="Arial" w:cs="Arial" w:eastAsia="Arial" w:hAnsi="Arial"/>
          <w:sz w:val="18"/>
          <w:szCs w:val="18"/>
          <w:color w:val="auto"/>
        </w:rPr>
        <w:t>value is determined to be other than temporary, the value of the security is reduced and a corresponding charge to earnings is recognized.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7"/>
              </w:rPr>
              <w:t>September 30, 2016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8"/>
          </w:tcPr>
          <w:p>
            <w:pPr>
              <w:ind w:left="22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4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4,515,000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4,515,479</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4,800,000</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4,798,810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6,003,748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6,001,080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4,515,000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4,515,479</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10,803,748</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10,799,890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2"/>
              </w:rPr>
              <w:t>September 30, 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8"/>
          </w:tcPr>
          <w:p>
            <w:pPr>
              <w:ind w:left="14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Cost</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Within 3 months</w:t>
            </w: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2,835,000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2,835,251</w:t>
            </w:r>
          </w:p>
        </w:tc>
        <w:tc>
          <w:tcPr>
            <w:tcW w:w="1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10,803,748</w:t>
            </w:r>
          </w:p>
        </w:tc>
        <w:tc>
          <w:tcPr>
            <w:tcW w:w="14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10,799,890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1,680,228</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4,515,000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4,515,479</w:t>
            </w:r>
          </w:p>
        </w:tc>
        <w:tc>
          <w:tcPr>
            <w:tcW w:w="1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10,803,748</w:t>
            </w:r>
          </w:p>
        </w:tc>
        <w:tc>
          <w:tcPr>
            <w:tcW w:w="14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10,799,890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 September 30,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29,610</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Accretion of investment premium</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20"/>
                <w:szCs w:val="20"/>
                <w:color w:val="auto"/>
              </w:rPr>
            </w:pPr>
            <w:r>
              <w:rPr>
                <w:rFonts w:ascii="Arial" w:cs="Arial" w:eastAsia="Arial" w:hAnsi="Arial"/>
                <w:sz w:val="18"/>
                <w:szCs w:val="18"/>
                <w:color w:val="auto"/>
              </w:rPr>
              <w:t>Investment income,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8,133</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161,584</w:t>
            </w: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Accretion of investment premium</w:t>
            </w: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(5,788)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(112,735)</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Investment income,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gain or loss position at September 30, 2016. The Company has reviewed individual securities to determine whether a decline in fair value below the amortizable cost basis is other than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ind w:left="220"/>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December 31, 2015</w:t>
            </w:r>
          </w:p>
        </w:tc>
        <w:tc>
          <w:tcPr>
            <w:tcW w:w="460" w:type="dxa"/>
            <w:vAlign w:val="bottom"/>
          </w:tcPr>
          <w:p>
            <w:pPr>
              <w:spacing w:after="0"/>
              <w:rPr>
                <w:sz w:val="20"/>
                <w:szCs w:val="20"/>
                <w:color w:val="auto"/>
              </w:rPr>
            </w:pPr>
          </w:p>
        </w:tc>
      </w:tr>
      <w:tr>
        <w:trPr>
          <w:trHeight w:val="191"/>
        </w:trPr>
        <w:tc>
          <w:tcPr>
            <w:tcW w:w="1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8"/>
              </w:rPr>
              <w:t>Unrealized</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Holding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Holding</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Gains</w:t>
            </w:r>
          </w:p>
        </w:tc>
        <w:tc>
          <w:tcPr>
            <w:tcW w:w="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Available for Sale (all unrealized holding gains and losses are less than</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 months at date of measurement)</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Short-term investments with unrealized gains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4,515,479</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240,024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 with unrealized losses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10,559,866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2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4,515,479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10,799,890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(3,858)</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the change, by component, in accumulated other comprehensive loss for the first nine months of 2016.</w:t>
      </w:r>
    </w:p>
    <w:p>
      <w:pPr>
        <w:spacing w:after="0" w:line="200" w:lineRule="exact"/>
        <w:rPr>
          <w:sz w:val="20"/>
          <w:szCs w:val="20"/>
          <w:color w:val="auto"/>
        </w:rPr>
      </w:pP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r>
      <w:tr>
        <w:trPr>
          <w:trHeight w:val="210"/>
        </w:trPr>
        <w:tc>
          <w:tcPr>
            <w:tcW w:w="91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reclassified to other accumulated income</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Pr>
          <w:p>
            <w:pPr>
              <w:spacing w:after="0"/>
              <w:rPr>
                <w:sz w:val="18"/>
                <w:szCs w:val="18"/>
                <w:color w:val="auto"/>
              </w:rPr>
            </w:pPr>
          </w:p>
        </w:tc>
      </w:tr>
      <w:tr>
        <w:trPr>
          <w:trHeight w:val="210"/>
        </w:trPr>
        <w:tc>
          <w:tcPr>
            <w:tcW w:w="9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gain, net</w:t>
            </w: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9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nine months ended September 30, 2016 except for the change in the earn-out milestone liability included in earnings (Note 13).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Recurring items as of September 30, 2016</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investments available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Recurring items as of December 31, 2015</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Short-term investments available for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6"/>
          <w:szCs w:val="16"/>
          <w:color w:val="auto"/>
        </w:rPr>
        <w:t>Recurring items as of September 30, 2016</w:t>
      </w:r>
    </w:p>
    <w:p>
      <w:pPr>
        <w:spacing w:after="0" w:line="58" w:lineRule="exact"/>
        <w:rPr>
          <w:sz w:val="20"/>
          <w:szCs w:val="20"/>
          <w:color w:val="auto"/>
        </w:rPr>
      </w:pPr>
    </w:p>
    <w:p>
      <w:pPr>
        <w:jc w:val="center"/>
        <w:ind w:right="2300"/>
        <w:spacing w:after="0"/>
        <w:rPr>
          <w:sz w:val="20"/>
          <w:szCs w:val="20"/>
          <w:color w:val="auto"/>
        </w:rPr>
      </w:pPr>
      <w:r>
        <w:rPr>
          <w:rFonts w:ascii="Arial" w:cs="Arial" w:eastAsia="Arial" w:hAnsi="Arial"/>
          <w:sz w:val="18"/>
          <w:szCs w:val="18"/>
          <w:color w:val="auto"/>
        </w:rPr>
        <w:t>Earn-out milestone liability (Note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Recurring items as of December 31, 2015</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Earn-out milestone liability (Note 13)</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Acquisition of EGEN,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Quoted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Prices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In Active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Markets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Fair</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For</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Significant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 on</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Identical</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Significant</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the</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Assets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Observable</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Unobservable</w:t>
            </w:r>
          </w:p>
        </w:tc>
      </w:tr>
      <w:tr>
        <w:trPr>
          <w:trHeight w:val="216"/>
        </w:trPr>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/Liabilities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Inputs</w:t>
            </w: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Inputs</w:t>
            </w:r>
          </w:p>
        </w:tc>
      </w:tr>
      <w:tr>
        <w:trPr>
          <w:trHeight w:val="234"/>
        </w:trPr>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Sheet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r>
      <w:tr>
        <w:trPr>
          <w:trHeight w:val="64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4,515,479</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4,515,479</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10,799,890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10,799,890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14,477,794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14,477,794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13,921,412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13,921,412</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-1885950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-1611630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-1311275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-1011555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-736600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-436880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-162560</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360" w:space="720"/>
            <w:col w:w="5340"/>
          </w:cols>
          <w:pgMar w:left="240" w:top="611" w:right="239" w:bottom="1440" w:gutter="0" w:footer="0" w:header="0"/>
        </w:sectPr>
      </w:pPr>
    </w:p>
    <w:p>
      <w:pPr>
        <w:spacing w:after="0" w:line="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(EGEN) pursuant to an Asset Purchase Agreement (EGEN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we assumed certain specified liabilities of EGEN, including the liabilities arising out of the acquired contracts and other assets relating to periods after the closing date.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we paid approximately $3.0 million in cash after expense adjustment and issued 2,712,188 shares of its common stock to EGEN. In addition, 670,070 shares of common stock are currently issuable to EGEN pending satisfactory resolution of any post-closing adjustments of expenses and EGEN’s indemnification obligations under the EGEN Purchase Agreement (Holdback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1060" w:right="500" w:hanging="417"/>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1060" w:right="460" w:hanging="417"/>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70" w:lineRule="exact"/>
        <w:rPr>
          <w:rFonts w:ascii="Arial" w:cs="Arial" w:eastAsia="Arial" w:hAnsi="Arial"/>
          <w:sz w:val="18"/>
          <w:szCs w:val="18"/>
          <w:color w:val="auto"/>
        </w:rPr>
      </w:pPr>
    </w:p>
    <w:p>
      <w:pPr>
        <w:ind w:left="1060" w:right="440" w:hanging="417"/>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TM technology acquired from EGEN in the acquisition.</w:t>
      </w:r>
    </w:p>
    <w:p>
      <w:pPr>
        <w:spacing w:after="0" w:line="170"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w:t>
      </w:r>
    </w:p>
    <w:p>
      <w:pPr>
        <w:jc w:val="both"/>
        <w:ind w:right="120"/>
        <w:spacing w:after="0" w:line="255" w:lineRule="auto"/>
        <w:rPr>
          <w:sz w:val="20"/>
          <w:szCs w:val="20"/>
          <w:color w:val="auto"/>
        </w:rPr>
      </w:pPr>
      <w:r>
        <w:rPr>
          <w:rFonts w:ascii="Arial" w:cs="Arial" w:eastAsia="Arial" w:hAnsi="Arial"/>
          <w:sz w:val="18"/>
          <w:szCs w:val="18"/>
          <w:color w:val="auto"/>
        </w:rPr>
        <w:t>$27.6 million. Under the acquisition method of accounting, the total purchase price was allocated to EGEN’s net tangible and intangible assets and liabilities based on their estimated fair values as of the acquisition date. The following table summarizes the fair values of these assets acquired and liabilities assumed related to the acquisition.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14" w:name="page15"/>
    <w:bookmarkEnd w:id="14"/>
    <w:tbl>
      <w:tblPr>
        <w:tblLayout w:type="fixed"/>
        <w:tblInd w:w="18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Acquired In-Process Research and Development (IPR&amp;D) consists of EGEN's drug technology platforms: TheraPlas™ and TheraSilence™. The fair value of the IPR&amp;D drug technology platforms was estimated to be $25.8 million as of the acquisition date. 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As of September 30, 2016, after our assessment of the totality of the events that could impair IPR&amp;D, it is the Company’s conclusion “it is not more likely than not” that the indefinite-lived intangible assets are impaired. Therefore, the Company is not required to calculate the fair value of the intangible assets and perform a quantitative impairment test.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2016, after our assessment of the totality of the events that could impair Goodwill, it is the Company’s conclusion “it is not more likely than not” that the Goodwill is impaired. Therefore, the Company is not required to conduct a two-step quantitative goodwill impairment test.</w:t>
      </w:r>
    </w:p>
    <w:p>
      <w:pPr>
        <w:sectPr>
          <w:pgSz w:w="11900" w:h="16838" w:orient="portrait"/>
          <w:cols w:equalWidth="0" w:num="1">
            <w:col w:w="11420"/>
          </w:cols>
          <w:pgMar w:left="240" w:top="599" w:right="2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September 30, 2016 and December 31, 2015 include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-121920</wp:posOffset>
            </wp:positionV>
            <wp:extent cx="68776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payroll and related benefits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-130810</wp:posOffset>
            </wp:positionV>
            <wp:extent cx="68776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interest on notes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-130810</wp:posOffset>
            </wp:positionV>
            <wp:extent cx="68776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19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1,287,749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571,615</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1,061,708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947,078</w:t>
            </w:r>
          </w:p>
        </w:tc>
      </w:tr>
      <w:tr>
        <w:trPr>
          <w:trHeight w:val="216"/>
        </w:trPr>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244,450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319,200</w:t>
            </w:r>
          </w:p>
        </w:tc>
      </w:tr>
      <w:tr>
        <w:trPr>
          <w:trHeight w:val="216"/>
        </w:trPr>
        <w:tc>
          <w:tcPr>
            <w:tcW w:w="120" w:type="dxa"/>
            <w:vAlign w:val="bottom"/>
          </w:tcPr>
          <w:p>
            <w:pPr>
              <w:spacing w:after="0"/>
              <w:rPr>
                <w:sz w:val="18"/>
                <w:szCs w:val="18"/>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31,782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62,136</w:t>
            </w:r>
          </w:p>
        </w:tc>
      </w:tr>
      <w:tr>
        <w:trPr>
          <w:trHeight w:val="230"/>
        </w:trPr>
        <w:tc>
          <w:tcPr>
            <w:tcW w:w="12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19,740</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2,645,429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1,919,769</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58" w:lineRule="exact"/>
        <w:rPr>
          <w:sz w:val="20"/>
          <w:szCs w:val="20"/>
          <w:color w:val="auto"/>
        </w:rPr>
      </w:pPr>
    </w:p>
    <w:p>
      <w:pPr>
        <w:sectPr>
          <w:pgSz w:w="11900" w:h="16838" w:orient="portrait"/>
          <w:cols w:equalWidth="0" w:num="2">
            <w:col w:w="6940" w:space="720"/>
            <w:col w:w="3760"/>
          </w:cols>
          <w:pgMar w:left="240" w:top="599" w:right="239" w:bottom="1440" w:gutter="0" w:footer="0" w:header="0"/>
          <w:type w:val="continuous"/>
        </w:sectPr>
      </w:pP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In connection with adoption of ASU Subtopic 835-30 during the first quarter of 2016, unamortized deferred financing fees of $6,151 and $26,131 as of September 30, 2016 and December 31, 2015, respectively, have been classified as a direct deduction from the debt liability consistent with the presentation of a debt discount.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type w:val="continuous"/>
        </w:sectPr>
      </w:pPr>
    </w:p>
    <w:bookmarkStart w:id="15" w:name="page16"/>
    <w:bookmarkEnd w:id="15"/>
    <w:p>
      <w:pPr>
        <w:jc w:val="both"/>
        <w:ind w:right="40"/>
        <w:spacing w:after="0" w:line="284" w:lineRule="auto"/>
        <w:rPr>
          <w:sz w:val="20"/>
          <w:szCs w:val="20"/>
          <w:color w:val="auto"/>
        </w:rPr>
      </w:pPr>
      <w:r>
        <w:rPr>
          <w:rFonts w:ascii="Arial" w:cs="Arial" w:eastAsia="Arial" w:hAnsi="Arial"/>
          <w:sz w:val="16"/>
          <w:szCs w:val="16"/>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In 2014, the warrant liability was fair valued at the end of each quarter and the resulting change in fair value will be recognized in net income. 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that time. 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39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For the three month periods ended September 30, 2016 and 2015, the Company incurred $107,805 and $218,836 in interest expense, respectively, and amortized $53,220 and $103,860, respectively as interest expense for deferred fees, debt discount and end of term charges in connection with the Hercules Credit Agreement. For the nine month periods ended September 30, 2016 and 2015, the Company incurred $409,770 and $726,167 in interest expense, respectively, and amortized $198,806 and $349,090, respectively, as interest expense for deferred fees, debt discount and end of term charges in connection with the Hercules Credit Agreement.</w:t>
      </w:r>
    </w:p>
    <w:p>
      <w:pPr>
        <w:spacing w:after="0" w:line="188"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notes payable associated with the Hercules Credit Agreement consisted of the following at: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6,345,769</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8"/>
              </w:rPr>
              <w:t>Amortized end of term charges net of amortized debt discounts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282,922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265,859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(187,894)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Total convertible notes payable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3,593,112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6,423,734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80" w:type="dxa"/>
            <w:vAlign w:val="bottom"/>
            <w:vMerge w:val="restart"/>
          </w:tcPr>
          <w:p>
            <w:pPr>
              <w:jc w:val="right"/>
              <w:ind w:right="175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80" w:type="dxa"/>
            <w:vAlign w:val="bottom"/>
            <w:shd w:val="clear" w:color="auto" w:fill="808080"/>
          </w:tcPr>
          <w:p>
            <w:pPr>
              <w:spacing w:after="0"/>
              <w:rPr>
                <w:sz w:val="5"/>
                <w:szCs w:val="5"/>
                <w:color w:val="auto"/>
              </w:rPr>
            </w:pPr>
          </w:p>
        </w:tc>
        <w:tc>
          <w:tcPr>
            <w:tcW w:w="498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Following is a schedule of future principle payments before debt discount and end of term charges due on the Hercules Credit Agreement:</w:t>
      </w:r>
    </w:p>
    <w:p>
      <w:pPr>
        <w:spacing w:after="0" w:line="221"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During the</w:t>
      </w:r>
    </w:p>
    <w:p>
      <w:pPr>
        <w:spacing w:after="0" w:line="27"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year ending</w:t>
      </w:r>
    </w:p>
    <w:p>
      <w:pPr>
        <w:spacing w:after="0" w:line="9" w:lineRule="exact"/>
        <w:rPr>
          <w:sz w:val="20"/>
          <w:szCs w:val="20"/>
          <w:color w:val="auto"/>
        </w:rPr>
      </w:pPr>
    </w:p>
    <w:p>
      <w:pPr>
        <w:jc w:val="center"/>
        <w:ind w:left="96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3,316,341</w:t>
            </w:r>
          </w:p>
        </w:tc>
        <w:tc>
          <w:tcPr>
            <w:tcW w:w="1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2018 and thereafter</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3,316,341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Company filed with the SEC a $75 million shelf registration statement on Form S-3 (File No. 333-206789) that allows the Company to issue any combination of common stock, preferred stock or warrants to purchase common stock or preferred stock (the 2015 Registration Statement). This shelf registration was declared effective on September 25, 2015.</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13, 2016, the Company entered into a Securities Purchase Agreement (the June 2016 Purchase Agreement) with an investor, pursuant to which the Company issued and sold, in a registered direct offering (the June 2016 Offering), an aggregate of 2,311,764 shares of common stock, par value $0.01 per share, of the Company at an offering price of $1.36 per share. In addition, the Company sold Pre-Funded Series B Warrants (the Pre-Funded Series B Warrants) to purchase 2,100,000 shares of common stock (and the shares of common stock issuable upon exercise of the Pre-Funded Series B Warrants), in lieu of shares of common stock to the extent that the purchase of common stock would cause the beneficial ownership of the Purchaser, together with its affiliates and certain related parties, to exceed 9.99% of our common stock. The Company offered these shares and warrants under the June 2016 Purchase Agreement pursuant to the 2015 Registration Statement. The Company received gross proceeds of approximately $6.0 million before the deduction of the placement agent fee and offering expenses in the June 2016 Offering. During the third quarter of 2016, 250,000 shares of common stock were issued in connection with the exercise of some of the Pre-Funded Series B Warrants. As of September 30, 2016, 1,850,000 of the Series B Pre-Funded warrants remain outstanding.</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 concurrent private placement (the June 2016 Private Placement), the Company issued to the investor Series A warrants (the June 2016 Series A Warrants), each to purchase 0.5 share of common stock, Series C warrants (the June 2016 Series C Warrants), each to purchase one share of common stock, and Series D warrants (the June 2016 Series D Warrants), each to purchase 0.5 share of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$1.40 per share and are exercisable to purchase an aggregate of 8,823,528 shares of common stock. Subject to limited exceptions, a holder of a June 2016 Warrant will not have the right to exercise any portion of its warrants if the holder, together with its affiliates, would beneficially own in excess of 4.99% of the number of shares of common stock outstanding immediately after giving effect to such exercise (the “Beneficial Ownership Limitation”); provided, however, that upon 61 days’ prior notice to the Company, the holder may increase or decrease the Beneficial Ownership Limitation, provided that in no event shall the Beneficial Ownership Limitation exceed 9.99%. The June 2016 Warrants and the shares of our common stock issuable upon the exercise of the June 2016 Warrants are not being registered under the Securities Act of 1933, as amended (the “Securities Act”), are not being offered pursuant to the Registration Statement and are being offered pursuant to the exemption provided in Section 4(a)(2) under the Securities Act and Rule 506(b) promulgated thereunder. On October 31, 2016 we filed a registration statement on Form S-1 to provide for the resale of the shares of common stock issuable upon the exercise of the June 2016 Warrants and will be obligated to use our commercially reasonable efforts to keep such registration statement effective until the earliest of (i) the date on which all of the shares of commons stock issuable upon the exercise of the June 2016 Warrants have been sold under the registration statement or Rule 144 under the Securities Act, (ii) the date on which the shares of common stock issuable upon the exercise of the June 2016 Warrants may be sold without volume or manner-of-sale restrictions pursuant to Rule 144 under the Securities Act and (iii) the termination of the June 2016 Warrants.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June 2016 Purchase Agreement, the Company is prohibited, for a period of six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September 30, 2016, the Company sold and issued an aggregate of 1,479,535 shares of common stock under the ATM Agreement, receiving approximately $7.4 million in net proceeds.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On October 2, 2015, we filed a prospectus supplement to the base prospectus that forms a part of the Shelf Registration Statement, filed on September 4, 2015 and declared effective by the SEC on September 25, 2015, pursuant to which we may offer and sell up to $7,500,000 of common stock from time to time under the ATM Agreement. The Company currently has approximately $17.4 million remaining under the ATM Agreement.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and restricted stock awards for the nine months ended September 30, 2016 is as follows:</w:t>
      </w:r>
    </w:p>
    <w:p>
      <w:pPr>
        <w:sectPr>
          <w:pgSz w:w="11900" w:h="16838" w:orient="portrait"/>
          <w:cols w:equalWidth="0" w:num="1">
            <w:col w:w="11420"/>
          </w:cols>
          <w:pgMar w:left="240" w:top="6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outstanding at December 31,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awards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forfeited, cancelled or expired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Equity awards outstanding at September 30, 2016</w:t>
      </w:r>
    </w:p>
    <w:p>
      <w:pPr>
        <w:spacing w:after="0" w:line="225"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Aggregate intrinsic value of outstanding awards at September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Equity awards exercisable at September 30, 2016</w:t>
      </w:r>
    </w:p>
    <w:p>
      <w:pPr>
        <w:spacing w:after="0" w:line="225" w:lineRule="exact"/>
        <w:rPr>
          <w:sz w:val="20"/>
          <w:szCs w:val="20"/>
          <w:color w:val="auto"/>
        </w:rPr>
      </w:pPr>
    </w:p>
    <w:p>
      <w:pPr>
        <w:ind w:left="180" w:right="40" w:hanging="161"/>
        <w:spacing w:after="0" w:line="277" w:lineRule="auto"/>
        <w:rPr>
          <w:sz w:val="20"/>
          <w:szCs w:val="20"/>
          <w:color w:val="auto"/>
        </w:rPr>
      </w:pPr>
      <w:r>
        <w:rPr>
          <w:rFonts w:ascii="Arial" w:cs="Arial" w:eastAsia="Arial" w:hAnsi="Arial"/>
          <w:sz w:val="18"/>
          <w:szCs w:val="18"/>
          <w:color w:val="auto"/>
        </w:rPr>
        <w:t>Aggregate intrinsic value of awards exercisable at September 30, 2016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Restricted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r>
      <w:tr>
        <w:trPr>
          <w:trHeight w:val="234"/>
        </w:trPr>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Stock Options</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Awards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r>
      <w:tr>
        <w:trPr>
          <w:trHeight w:val="191"/>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Weighted</w:t>
            </w:r>
          </w:p>
        </w:tc>
        <w:tc>
          <w:tcPr>
            <w:tcW w:w="220" w:type="dxa"/>
            <w:vAlign w:val="bottom"/>
          </w:tcPr>
          <w:p>
            <w:pPr>
              <w:spacing w:after="0"/>
              <w:rPr>
                <w:sz w:val="16"/>
                <w:szCs w:val="16"/>
                <w:color w:val="auto"/>
              </w:rPr>
            </w:pPr>
          </w:p>
        </w:tc>
        <w:tc>
          <w:tcPr>
            <w:tcW w:w="11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Contractual</w:t>
            </w: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Non-vested</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Average</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Terms of</w:t>
            </w: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Restricted</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Grant</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Equity</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Date</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Awards</w:t>
            </w:r>
          </w:p>
        </w:tc>
      </w:tr>
      <w:tr>
        <w:trPr>
          <w:trHeight w:val="234"/>
        </w:trPr>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Outstanding</w:t>
            </w:r>
          </w:p>
        </w:tc>
        <w:tc>
          <w:tcPr>
            <w:tcW w:w="26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6"/>
              </w:rPr>
              <w:t>Outstanding</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 years)</w:t>
            </w:r>
          </w:p>
        </w:tc>
      </w:tr>
      <w:tr>
        <w:trPr>
          <w:trHeight w:val="411"/>
        </w:trPr>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2,139,822</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81,518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14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841,283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1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(126,518)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1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(48,278)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426"/>
        </w:trPr>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2,932,827</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88"/>
        </w:trPr>
        <w:tc>
          <w:tcPr>
            <w:tcW w:w="240" w:type="dxa"/>
            <w:vAlign w:val="bottom"/>
          </w:tcPr>
          <w:p>
            <w:pPr>
              <w:jc w:val="right"/>
              <w:ind w:right="7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79,300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2,186,830</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-1568450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-1294130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-1011555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-711200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-299720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-2974975</wp:posOffset>
            </wp:positionH>
            <wp:positionV relativeFrom="paragraph">
              <wp:posOffset>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7" w:lineRule="exact"/>
        <w:rPr>
          <w:sz w:val="20"/>
          <w:szCs w:val="20"/>
          <w:color w:val="auto"/>
        </w:rPr>
      </w:pPr>
    </w:p>
    <w:p>
      <w:pPr>
        <w:ind w:left="1046" w:hanging="1046"/>
        <w:spacing w:after="0"/>
        <w:tabs>
          <w:tab w:leader="none" w:pos="104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200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4460" w:space="234"/>
            <w:col w:w="6726"/>
          </w:cols>
          <w:pgMar w:left="240" w:top="634" w:right="239" w:bottom="1440" w:gutter="0" w:footer="0" w:header="0"/>
          <w:type w:val="continuous"/>
        </w:sect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304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r>
      <w:tr>
        <w:trPr>
          <w:trHeight w:val="210"/>
        </w:trPr>
        <w:tc>
          <w:tcPr>
            <w:tcW w:w="76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2016</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2015</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2.93%</w:t>
            </w: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87.4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89.1%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0"/>
              </w:rPr>
              <w:t>93.0%</w:t>
            </w: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with terms that approximate the expected option lives in effect at the time of grant. The model incorporates exercise, pre-vesting and post-vesting forfeiture assumptions based on analysis of historical data. The expiration of each option granted in fiscal 2016 and 2015 was used as the expected life.</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totaled $432,573 and $289,683 for the three months ended September 30, 2016 and 2015, respectively. Total compensation cost related to employee stock options and restricted stock awards totaled $1,331,094 and $1,616,864 for the nine months ended September 30, 2016 and 2015, respectively. No compensation cost related to stock-based payment arrangements was capitalized as part of the cost of any asset as of September 30, 2016 and 2015.</w:t>
      </w:r>
    </w:p>
    <w:p>
      <w:pPr>
        <w:spacing w:after="0" w:line="18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As of September 30, 2016, there was $0.5 million of total unrecognized compensation cost related to non-vested share-based compensation arrangements. That cost is expected to be recognized over a weighted-average period of 0.9 years. The weighted average grant-date fair value was $1.16 and $2.15 per share for the options granted during the nine months ended September 30, 2016 and 2015, respectively. The weighted average grant-date fair value was $1.63 and $3.29 for the restricted stock awards granted during the nine months ended September 30, 2016 and 2015,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Collectively, for all of the Company’s stock option plans there were a total of 535,925 equity awards available for future issuance as of September 30, 2016.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of September 30, 2016, June 30, 2016, and December 31, 2015, the Company fair valued these milestones at $14.5 million, $13.8 million and $13.9 million, respectively, and recognized a non-cash charge of $662,410 and $556,382 during the three and nine month periods ended September 30, 2016, respectively, as a result of the change in the fair value of these milestones from the beginning of each period respectively. As of September 30 2015, June 30, 2015, and December 31, 2014, the Company fair valued these milestones at $13.6 million, $13.9 million and $13.7 million, respectively, and recognized a non-cash benefit of $282,950 and $41,422 during the three and nine month periods ended September 30, 2015, respectively, as a result of the change in the fair value of these milestones from the beginning of each period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2"/>
          </w:tcPr>
          <w:p>
            <w:pPr>
              <w:jc w:val="right"/>
              <w:ind w:right="3110"/>
              <w:spacing w:after="0"/>
              <w:rPr>
                <w:sz w:val="20"/>
                <w:szCs w:val="20"/>
                <w:color w:val="auto"/>
              </w:rPr>
            </w:pPr>
            <w:r>
              <w:rPr>
                <w:rFonts w:ascii="Arial" w:cs="Arial" w:eastAsia="Arial" w:hAnsi="Arial"/>
                <w:sz w:val="18"/>
                <w:szCs w:val="18"/>
                <w:color w:val="auto"/>
                <w:w w:val="92"/>
              </w:rPr>
              <w:t>The following is a summary of the changes in the earn-out milestone liability for 2016:</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13,921,412</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(556,382)</w:t>
            </w:r>
          </w:p>
        </w:tc>
        <w:tc>
          <w:tcPr>
            <w:tcW w:w="460" w:type="dxa"/>
            <w:vAlign w:val="bottom"/>
          </w:tcPr>
          <w:p>
            <w:pPr>
              <w:spacing w:after="0"/>
              <w:rPr>
                <w:sz w:val="18"/>
                <w:szCs w:val="18"/>
                <w:color w:val="auto"/>
              </w:rPr>
            </w:pPr>
          </w:p>
        </w:tc>
      </w:tr>
      <w:tr>
        <w:trPr>
          <w:trHeight w:val="250"/>
        </w:trPr>
        <w:tc>
          <w:tcPr>
            <w:tcW w:w="180" w:type="dxa"/>
            <w:vAlign w:val="bottom"/>
          </w:tcPr>
          <w:p>
            <w:pPr>
              <w:spacing w:after="0"/>
              <w:rPr>
                <w:sz w:val="21"/>
                <w:szCs w:val="21"/>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14,477,794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r>
      <w:tr>
        <w:trPr>
          <w:trHeight w:val="872"/>
        </w:trPr>
        <w:tc>
          <w:tcPr>
            <w:tcW w:w="9480" w:type="dxa"/>
            <w:vAlign w:val="bottom"/>
            <w:gridSpan w:val="2"/>
          </w:tcPr>
          <w:p>
            <w:pPr>
              <w:jc w:val="right"/>
              <w:ind w:right="359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93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1"/>
              </w:rPr>
              <w:t>Risk-adjustment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ind w:left="280"/>
              <w:spacing w:after="0"/>
              <w:rPr>
                <w:sz w:val="20"/>
                <w:szCs w:val="20"/>
                <w:color w:val="auto"/>
              </w:rPr>
            </w:pPr>
            <w:r>
              <w:rPr>
                <w:rFonts w:ascii="Arial" w:cs="Arial" w:eastAsia="Arial" w:hAnsi="Arial"/>
                <w:sz w:val="18"/>
                <w:szCs w:val="18"/>
                <w:b w:val="1"/>
                <w:bCs w:val="1"/>
                <w:color w:val="auto"/>
              </w:rPr>
              <w:t>Assessment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Time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5"/>
              </w:rPr>
              <w:t>of each</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0"/>
              </w:rPr>
              <w:t>to Achieve</w:t>
            </w:r>
          </w:p>
        </w:tc>
      </w:tr>
      <w:tr>
        <w:trPr>
          <w:trHeight w:val="234"/>
        </w:trPr>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89"/>
              </w:rPr>
              <w:t>Milestone</w:t>
            </w:r>
          </w:p>
        </w:tc>
        <w:tc>
          <w:tcPr>
            <w:tcW w:w="220" w:type="dxa"/>
            <w:vAlign w:val="bottom"/>
          </w:tcPr>
          <w:p>
            <w:pPr>
              <w:spacing w:after="0"/>
              <w:rPr>
                <w:sz w:val="20"/>
                <w:szCs w:val="20"/>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Discount Rate</w:t>
            </w:r>
          </w:p>
        </w:tc>
        <w:tc>
          <w:tcPr>
            <w:tcW w:w="280" w:type="dxa"/>
            <w:vAlign w:val="bottom"/>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1"/>
              </w:rPr>
              <w:t>(years)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9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0.05</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680" w:type="dxa"/>
            <w:vAlign w:val="bottom"/>
          </w:tcPr>
          <w:p>
            <w:pPr>
              <w:ind w:left="280"/>
              <w:spacing w:after="0"/>
              <w:rPr>
                <w:sz w:val="20"/>
                <w:szCs w:val="20"/>
                <w:color w:val="auto"/>
              </w:rPr>
            </w:pPr>
            <w:r>
              <w:rPr>
                <w:rFonts w:ascii="Arial" w:cs="Arial" w:eastAsia="Arial" w:hAnsi="Arial"/>
                <w:sz w:val="18"/>
                <w:szCs w:val="18"/>
                <w:color w:val="auto"/>
              </w:rPr>
              <w:t>10%</w:t>
            </w:r>
          </w:p>
        </w:tc>
        <w:tc>
          <w:tcPr>
            <w:tcW w:w="340" w:type="dxa"/>
            <w:vAlign w:val="bottom"/>
          </w:tcPr>
          <w:p>
            <w:pPr>
              <w:ind w:left="80"/>
              <w:spacing w:after="0"/>
              <w:rPr>
                <w:sz w:val="20"/>
                <w:szCs w:val="20"/>
                <w:color w:val="auto"/>
              </w:rPr>
            </w:pPr>
            <w:r>
              <w:rPr>
                <w:rFonts w:ascii="Arial" w:cs="Arial" w:eastAsia="Arial" w:hAnsi="Arial"/>
                <w:sz w:val="18"/>
                <w:szCs w:val="18"/>
                <w:color w:val="auto"/>
              </w:rPr>
              <w:t>to</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0.05</w:t>
            </w:r>
          </w:p>
        </w:tc>
        <w:tc>
          <w:tcPr>
            <w:tcW w:w="360" w:type="dxa"/>
            <w:vAlign w:val="bottom"/>
          </w:tcPr>
          <w:p>
            <w:pPr>
              <w:ind w:left="140"/>
              <w:spacing w:after="0"/>
              <w:rPr>
                <w:sz w:val="20"/>
                <w:szCs w:val="20"/>
                <w:color w:val="auto"/>
              </w:rPr>
            </w:pPr>
            <w:r>
              <w:rPr>
                <w:rFonts w:ascii="Arial" w:cs="Arial" w:eastAsia="Arial" w:hAnsi="Arial"/>
                <w:sz w:val="18"/>
                <w:szCs w:val="18"/>
                <w:color w:val="auto"/>
              </w:rPr>
              <w:t>to</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0.05</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680" w:type="dxa"/>
            <w:vAlign w:val="bottom"/>
          </w:tcPr>
          <w:p>
            <w:pPr>
              <w:ind w:left="280"/>
              <w:spacing w:after="0"/>
              <w:rPr>
                <w:sz w:val="20"/>
                <w:szCs w:val="20"/>
                <w:color w:val="auto"/>
              </w:rPr>
            </w:pPr>
            <w:r>
              <w:rPr>
                <w:rFonts w:ascii="Arial" w:cs="Arial" w:eastAsia="Arial" w:hAnsi="Arial"/>
                <w:sz w:val="18"/>
                <w:szCs w:val="18"/>
                <w:color w:val="auto"/>
              </w:rPr>
              <w:t>10%</w:t>
            </w:r>
          </w:p>
        </w:tc>
        <w:tc>
          <w:tcPr>
            <w:tcW w:w="340" w:type="dxa"/>
            <w:vAlign w:val="bottom"/>
          </w:tcPr>
          <w:p>
            <w:pPr>
              <w:ind w:left="80"/>
              <w:spacing w:after="0"/>
              <w:rPr>
                <w:sz w:val="20"/>
                <w:szCs w:val="20"/>
                <w:color w:val="auto"/>
              </w:rPr>
            </w:pPr>
            <w:r>
              <w:rPr>
                <w:rFonts w:ascii="Arial" w:cs="Arial" w:eastAsia="Arial" w:hAnsi="Arial"/>
                <w:sz w:val="18"/>
                <w:szCs w:val="18"/>
                <w:color w:val="auto"/>
              </w:rPr>
              <w:t>to</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0.75</w:t>
            </w:r>
          </w:p>
        </w:tc>
        <w:tc>
          <w:tcPr>
            <w:tcW w:w="360" w:type="dxa"/>
            <w:vAlign w:val="bottom"/>
          </w:tcPr>
          <w:p>
            <w:pPr>
              <w:ind w:left="140"/>
              <w:spacing w:after="0"/>
              <w:rPr>
                <w:sz w:val="20"/>
                <w:szCs w:val="20"/>
                <w:color w:val="auto"/>
              </w:rPr>
            </w:pPr>
            <w:r>
              <w:rPr>
                <w:rFonts w:ascii="Arial" w:cs="Arial" w:eastAsia="Arial" w:hAnsi="Arial"/>
                <w:sz w:val="18"/>
                <w:szCs w:val="18"/>
                <w:color w:val="auto"/>
              </w:rPr>
              <w:t>to</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2015</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0.92</w:t>
            </w: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680" w:type="dxa"/>
            <w:vAlign w:val="bottom"/>
          </w:tcPr>
          <w:p>
            <w:pPr>
              <w:ind w:left="280"/>
              <w:spacing w:after="0"/>
              <w:rPr>
                <w:sz w:val="20"/>
                <w:szCs w:val="20"/>
                <w:color w:val="auto"/>
              </w:rPr>
            </w:pPr>
            <w:r>
              <w:rPr>
                <w:rFonts w:ascii="Arial" w:cs="Arial" w:eastAsia="Arial" w:hAnsi="Arial"/>
                <w:sz w:val="18"/>
                <w:szCs w:val="18"/>
                <w:color w:val="auto"/>
              </w:rPr>
              <w:t>10%</w:t>
            </w:r>
          </w:p>
        </w:tc>
        <w:tc>
          <w:tcPr>
            <w:tcW w:w="340" w:type="dxa"/>
            <w:vAlign w:val="bottom"/>
          </w:tcPr>
          <w:p>
            <w:pPr>
              <w:ind w:left="80"/>
              <w:spacing w:after="0"/>
              <w:rPr>
                <w:sz w:val="20"/>
                <w:szCs w:val="20"/>
                <w:color w:val="auto"/>
              </w:rPr>
            </w:pPr>
            <w:r>
              <w:rPr>
                <w:rFonts w:ascii="Arial" w:cs="Arial" w:eastAsia="Arial" w:hAnsi="Arial"/>
                <w:sz w:val="18"/>
                <w:szCs w:val="18"/>
                <w:color w:val="auto"/>
              </w:rPr>
              <w:t>to</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w w:val="88"/>
              </w:rPr>
              <w:t>75%</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1.25</w:t>
            </w:r>
          </w:p>
        </w:tc>
        <w:tc>
          <w:tcPr>
            <w:tcW w:w="360" w:type="dxa"/>
            <w:vAlign w:val="bottom"/>
          </w:tcPr>
          <w:p>
            <w:pPr>
              <w:ind w:left="140"/>
              <w:spacing w:after="0"/>
              <w:rPr>
                <w:sz w:val="20"/>
                <w:szCs w:val="20"/>
                <w:color w:val="auto"/>
              </w:rPr>
            </w:pPr>
            <w:r>
              <w:rPr>
                <w:rFonts w:ascii="Arial" w:cs="Arial" w:eastAsia="Arial" w:hAnsi="Arial"/>
                <w:sz w:val="18"/>
                <w:szCs w:val="18"/>
                <w:color w:val="auto"/>
              </w:rPr>
              <w:t>to</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r>
      <w:tr>
        <w:trPr>
          <w:trHeight w:val="472"/>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Note 14. Warrants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40" w:type="dxa"/>
            <w:vAlign w:val="bottom"/>
            <w:gridSpan w:val="6"/>
          </w:tcPr>
          <w:p>
            <w:pPr>
              <w:spacing w:after="0"/>
              <w:rPr>
                <w:sz w:val="20"/>
                <w:szCs w:val="20"/>
                <w:color w:val="auto"/>
              </w:rPr>
            </w:pPr>
            <w:r>
              <w:rPr>
                <w:rFonts w:ascii="Arial" w:cs="Arial" w:eastAsia="Arial" w:hAnsi="Arial"/>
                <w:sz w:val="18"/>
                <w:szCs w:val="18"/>
                <w:color w:val="auto"/>
                <w:w w:val="93"/>
              </w:rPr>
              <w:t>Following is a summary of all warrant activity for the nine months ended September 30, 2016:</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1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91"/>
              </w:rPr>
              <w:t>Issued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9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outstanding at December 31, 2015</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5,894,675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r>
      <w:tr>
        <w:trPr>
          <w:trHeight w:val="216"/>
        </w:trPr>
        <w:tc>
          <w:tcPr>
            <w:tcW w:w="18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w w:val="90"/>
              </w:rPr>
              <w:t>Warrants issued during the nine months ended September 30, 2016 (see Note 11)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10,923,528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180" w:type="dxa"/>
            <w:vAlign w:val="bottom"/>
          </w:tcPr>
          <w:p>
            <w:pPr>
              <w:spacing w:after="0"/>
              <w:rPr>
                <w:sz w:val="18"/>
                <w:szCs w:val="18"/>
                <w:color w:val="auto"/>
              </w:rPr>
            </w:pPr>
          </w:p>
        </w:tc>
        <w:tc>
          <w:tcPr>
            <w:tcW w:w="67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9"/>
              </w:rPr>
              <w:t>Warrants exercised during the nine months ended September 30, 2016 (see Note 11)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0"/>
              </w:rPr>
              <w:t>Warrants expired during the nine months ended September 30, 2016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(619,659)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r>
      <w:tr>
        <w:trPr>
          <w:trHeight w:val="210"/>
        </w:trPr>
        <w:tc>
          <w:tcPr>
            <w:tcW w:w="180" w:type="dxa"/>
            <w:vAlign w:val="bottom"/>
          </w:tcPr>
          <w:p>
            <w:pPr>
              <w:spacing w:after="0"/>
              <w:rPr>
                <w:sz w:val="18"/>
                <w:szCs w:val="18"/>
                <w:color w:val="auto"/>
              </w:rPr>
            </w:pPr>
          </w:p>
        </w:tc>
        <w:tc>
          <w:tcPr>
            <w:tcW w:w="496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Warrants outstanding at September 30, 2016</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15,948,544</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0"/>
        </w:trPr>
        <w:tc>
          <w:tcPr>
            <w:tcW w:w="180" w:type="dxa"/>
            <w:vAlign w:val="bottom"/>
          </w:tcPr>
          <w:p>
            <w:pPr>
              <w:spacing w:after="0"/>
              <w:rPr>
                <w:sz w:val="18"/>
                <w:szCs w:val="18"/>
                <w:color w:val="auto"/>
              </w:rPr>
            </w:pPr>
          </w:p>
        </w:tc>
        <w:tc>
          <w:tcPr>
            <w:tcW w:w="564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w w:val="97"/>
              </w:rPr>
              <w:t>Aggregate intrinsic value of outstanding warrants at September 30, 2016</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2,236,000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980" w:type="dxa"/>
            <w:vAlign w:val="bottom"/>
            <w:gridSpan w:val="4"/>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980" w:type="dxa"/>
            <w:vAlign w:val="bottom"/>
            <w:gridSpan w:val="4"/>
          </w:tcPr>
          <w:p>
            <w:pPr>
              <w:spacing w:after="0"/>
              <w:rPr>
                <w:sz w:val="20"/>
                <w:szCs w:val="20"/>
                <w:color w:val="auto"/>
              </w:rPr>
            </w:pPr>
            <w:r>
              <w:rPr>
                <w:rFonts w:ascii="Arial" w:cs="Arial" w:eastAsia="Arial" w:hAnsi="Arial"/>
                <w:sz w:val="18"/>
                <w:szCs w:val="18"/>
                <w:color w:val="auto"/>
                <w:w w:val="92"/>
              </w:rPr>
              <w:t>Weighted average remaining contractual terms at September 30, 2016 (in years)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Does not include the Pre-Funded Warrants issued in the June 2016 Offering as these warrants have no expiration date.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 and Commitments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This lease has a remaining term of 7 months with rent payments of approximately $24,900 per month.</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16 months with rent payments of approximately $23,200 per month.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500" w:right="560" w:hanging="330"/>
        <w:spacing w:after="0" w:line="277"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500" w:right="60" w:hanging="330"/>
        <w:spacing w:after="0" w:line="277"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500" w:hanging="330"/>
        <w:spacing w:after="0"/>
        <w:tabs>
          <w:tab w:leader="none" w:pos="50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Hisun will be granted a right of first offer for a commercial license to ThermoDox® for the sale and distribution of ThermoDox® in the China territory.</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9, 2016, we signed a long-term Technology Transfer, Manufacturing and Commercial Supply Agreement (the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GEN-1 Agreement has targeted unit costs for clinical supplies of GEN-1 that are substantially competitive with the Company’s current suppliers;</w:t>
      </w:r>
    </w:p>
    <w:p>
      <w:pPr>
        <w:spacing w:after="0" w:line="236" w:lineRule="exact"/>
        <w:rPr>
          <w:rFonts w:ascii="Arial" w:cs="Arial" w:eastAsia="Arial" w:hAnsi="Arial"/>
          <w:sz w:val="17"/>
          <w:szCs w:val="17"/>
          <w:b w:val="1"/>
          <w:bCs w:val="1"/>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180" w:right="760" w:hanging="172"/>
        <w:spacing w:after="0" w:line="277"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2" w:name="page23"/>
    <w:bookmarkEnd w:id="22"/>
    <w:p>
      <w:pPr>
        <w:ind w:left="172" w:right="120" w:hanging="172"/>
        <w:spacing w:after="0" w:line="277" w:lineRule="auto"/>
        <w:tabs>
          <w:tab w:leader="none" w:pos="17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70" w:lineRule="exact"/>
        <w:rPr>
          <w:rFonts w:ascii="Arial" w:cs="Arial" w:eastAsia="Arial" w:hAnsi="Arial"/>
          <w:sz w:val="18"/>
          <w:szCs w:val="18"/>
          <w:b w:val="1"/>
          <w:bCs w:val="1"/>
          <w:color w:val="auto"/>
        </w:rPr>
      </w:pPr>
    </w:p>
    <w:p>
      <w:pPr>
        <w:ind w:left="172" w:hanging="172"/>
        <w:spacing w:after="0" w:line="277" w:lineRule="auto"/>
        <w:tabs>
          <w:tab w:leader="none" w:pos="17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200" w:lineRule="exact"/>
        <w:rPr>
          <w:sz w:val="20"/>
          <w:szCs w:val="20"/>
          <w:color w:val="auto"/>
        </w:rPr>
      </w:pPr>
    </w:p>
    <w:p>
      <w:pPr>
        <w:spacing w:after="0" w:line="268" w:lineRule="exact"/>
        <w:rPr>
          <w:sz w:val="20"/>
          <w:szCs w:val="20"/>
          <w:color w:val="auto"/>
        </w:rPr>
      </w:pPr>
    </w:p>
    <w:p>
      <w:pPr>
        <w:jc w:val="center"/>
        <w:ind w:right="-27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32"/>
          </w:cols>
          <w:pgMar w:left="248" w:top="611" w:right="519" w:bottom="1440" w:gutter="0" w:footer="0" w:header="0"/>
        </w:sectPr>
      </w:pPr>
    </w:p>
    <w:bookmarkStart w:id="23" w:name="page24"/>
    <w:bookmarkEnd w:id="23"/>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and Form 10K/A for the fiscal year ended December 31, 2015 filed with the Securities and Exchange Commission (SEC) on March 30, 2016 and April 29, 2016, respectively,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and Form 10-K/A,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Celsion is a fully-integrated oncology drug development stage company focused on advancing a portfolio of innovative cancer treatments, including directed chemotherapies, DNA-mediated immunotherapy and RNA based therapies. Our lead product candidate is ThermoDox® ,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(formerly known as EGEN-001), a DNA-mediated immunotherapy for the localized treatment of ovarian and brain cancers. 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w:t>
      </w:r>
      <w:r>
        <w:rPr>
          <w:rFonts w:ascii="Arial" w:cs="Arial" w:eastAsia="Arial" w:hAnsi="Arial"/>
          <w:sz w:val="28"/>
          <w:szCs w:val="28"/>
          <w:color w:val="auto"/>
          <w:vertAlign w:val="superscript"/>
        </w:rPr>
        <w:t>TM</w:t>
      </w:r>
      <w:r>
        <w:rPr>
          <w:rFonts w:ascii="Arial" w:cs="Arial" w:eastAsia="Arial" w:hAnsi="Arial"/>
          <w:sz w:val="17"/>
          <w:szCs w:val="17"/>
          <w:color w:val="auto"/>
        </w:rPr>
        <w:t>, a novel nucleic acid-based treatment for local transfection of therapeutic plasmids, and TheraSilence</w:t>
      </w:r>
      <w:r>
        <w:rPr>
          <w:rFonts w:ascii="Arial" w:cs="Arial" w:eastAsia="Arial" w:hAnsi="Arial"/>
          <w:sz w:val="28"/>
          <w:szCs w:val="28"/>
          <w:color w:val="auto"/>
          <w:vertAlign w:val="superscript"/>
        </w:rPr>
        <w:t>TM</w:t>
      </w:r>
      <w:r>
        <w:rPr>
          <w:rFonts w:ascii="Arial" w:cs="Arial" w:eastAsia="Arial" w:hAnsi="Arial"/>
          <w:sz w:val="17"/>
          <w:szCs w:val="17"/>
          <w:color w:val="auto"/>
        </w:rPr>
        <w:t>,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 is being evaluated in a Phase III clinical trial for primary liver cancer (the OPTIMA Study) which was initiated in 2014 and a Phase II clinical trial for recurrent chest wall breast cancer (the DIGNITY Study).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 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 ® was well-tolerated with no unexpected serious adverse events. Following the announcement of the HEAT Study results, we followed patients for overall survival (OS), the secondary endpoint of the HEAT Study. We have conducted a comprehensive analysis of the data from the HEAT Study to assess the future strategic value and development strategy for ThermoDox® .</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Findings from the HEAT Study post-hoc data analysis suggest that ThermoDox® may substantially improve OS, when compared to the control group, in patients if their lesions undergo a 45 minute RFA procedure standardized for a lesion greater than 3 cm in diameter. Data from nine OS sweeps have been conducted since the top line PFS data from the HEAT Study were announced in January 2013, with each data set showing progressive improvement in statistical significance. On August 15, 2016, the Company announced updated results from its final retrospective OS analysis of the data from the HEAT Study. These results demonstrated that in a large, well bounded, subgroup of patients (n= 285, 41% of the HEAT Study patients), treatment with a combination of ThermoDox® and optimized RFA provided an average 54% risk improvement in OS compared to optimized RFA alone. The Hazard Ratio (HR) at this analysis is 0.65 (95% CI 0.45 - 0.94) with a p-value of 0.02. Median overall survival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79" w:lineRule="exact"/>
        <w:rPr>
          <w:sz w:val="20"/>
          <w:szCs w:val="20"/>
          <w:color w:val="auto"/>
        </w:rPr>
      </w:pPr>
    </w:p>
    <w:p>
      <w:pPr>
        <w:ind w:left="500" w:right="240" w:hanging="330"/>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population of 154 patients with single lesions (70% of the HEAT Study Chinese patient cohort) who received optimized RFA treatment for 45 minutes or more showed a 53% risk improvement in OS (HR = 0.66) when treated with ThermoDox® plus optimized RFA.</w:t>
      </w:r>
    </w:p>
    <w:p>
      <w:pPr>
        <w:spacing w:after="0" w:line="200" w:lineRule="exact"/>
        <w:rPr>
          <w:rFonts w:ascii="Arial" w:cs="Arial" w:eastAsia="Arial" w:hAnsi="Arial"/>
          <w:sz w:val="17"/>
          <w:szCs w:val="17"/>
          <w:color w:val="auto"/>
        </w:rPr>
      </w:pPr>
    </w:p>
    <w:p>
      <w:pPr>
        <w:ind w:left="500" w:right="20" w:hanging="330"/>
        <w:spacing w:after="0" w:line="31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data continue to support and further strengthen ThermoDox®'s potential to significantly improve OS compared to an RFA control in patients with lesions that undergo optimized RFA treatment for 45 minutes or more. The clinical benefit seen in the ITT Chinese patient cohort further confirms the importance of RFA heating time as 72% of patients in this large patient cohort in China received an optimized RFA treatment.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 The presentations include:</w:t>
      </w:r>
    </w:p>
    <w:p>
      <w:pPr>
        <w:spacing w:after="0" w:line="214"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2014 and 2015;</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Society of Clinical Oncology 50th Annual Meeting in June 2014;</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 and October 2016;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Asia-Pacific Primary Liver Cancer Expert (APPLE) Meeting in July 2016.</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12, 2016, we announced that the National Institutes of Health (NIH) had conducted an independent retrospective analysis of data from the intent-to-treat population of the Company's HEAT Study, a 701-patient study investigating ThermoDox®. The findings of the NIH study will be presented during an oral session on November 28, 2016 during the 102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Scientific Assembly and Annual Meeting of the Radiological Society of North America (RSNA) to be held on November 26 - December 2, 2016 in Chicago, IL. Celsion is currently studying the use of RFA as a heat source both for tumor ablation and to activate ThermoDox® as a means of treating the area surrounding the tumor, where untreated tumor may be present. The NIH analysis, which sought to evaluate the correlation between RFA burn time per tumor volume (min/ml) and clinical outcome in patients treated with ThermoDox®, concluded that increased burn time per tumor volume substantially improved survival in patients with solitary lesions treated with RFA + ThermoDox® compared to patients treated with RFA alone. These findings are consistent with Celsion's analysis of the HEAT Study data showing that in patients treated with RFA for more than 45 minutes, standardized RFA plus ThermoDox® resulted in a statistically significant improvement in overall survival (OS) compared to standardized RFA alone.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our IND without comment, subject to compliance with regulatory standards, for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resulted in a 54% improvement in OS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 ® in combination with standardized RFA, which will require a minimum of 45 minutes across all investigators and clinical sites for treating lesions 3 to 7 centimeters, versus standardized RFA alone. The primary endpoint for the trial is OS, and the secondary endpoints for the trial are PFS and safety. The statistical plan calls for two interim efficacy analyses by an independent DMC.</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 0 additional clinical sites in China. With the addition of these Chinese clinical sites, the Company expects to complete enrollment in the OPTIMA Study during the first half of 2018. On April 26, 2016, we announced that the first patient in China has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the Phase I/II study of ThermoDox® in recurrent chest wall (RCW) breast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The Company anticipates that a Phase II study of Radiation Therapy, Hyperthermia and ThermoDox® to treat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local-regional recurrent chest wall breast cancer will be initiated by five clinical sites located in Italy, Israel, Poland and the Czech Republic (the Euro-DIGNITY Study). The Euro-DIGNITY Study will be Phase II study enrolling up to 70 patients affected by recurrent breast adenocarcinoma on the chest wall with/without nodes over a period of two years.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primary objectives of the Euro-DIGNITY Study will be (i) to evaluate efficacy in patients after treatment with ThermoDox® plus Hyperthermia measuring tumor diameter as a response to therapy and (ii) to evaluate loco-regional breast tumor control in patients who undergo ThermoDox® /hyperthermia/radiation therapy as measured by target lesion clinical response rate combining a RECIST criteria with digital photography to gauge response.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 Hyperthermia/Radiation Therapy among patients with local-regional recurrence (LRR) breast cancer, (ii) to evaluate the duration of local control complete response, partial response and stable disease following treatment with ThermoDox/ Hyperthermia/ Radiation Therapy up to 24 months among patients with LRR breast cancer and (iii) to assess Patient Reported Quality of Life using the FACT-B and Brief Pain Inventory following treatment with ThermoDox/Hyperthermia/ Radiation Therapy among patients with LRR breast cancer.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b w:val="1"/>
          <w:bCs w:val="1"/>
          <w:color w:val="auto"/>
        </w:rPr>
        <w:t xml:space="preserve">Early Access Program for ThermoDox for the Treatment of Patients with RCW Breast Cancer. </w:t>
      </w:r>
      <w:r>
        <w:rPr>
          <w:rFonts w:ascii="Arial" w:cs="Arial" w:eastAsia="Arial" w:hAnsi="Arial"/>
          <w:sz w:val="16"/>
          <w:szCs w:val="16"/>
          <w:color w:val="auto"/>
        </w:rPr>
        <w:t>On January 13, 2015, we entered into an Early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Impatients N.V., a Netherlands company (Impatients), pursuant to which Impatients will develop and execute through its brand myTomorrows an early access program for ThermoDox ® in all countries of the European Union territory, Iceland, Liechtenstein, Norway and Switzerland for the treatment of patients with RCW breast cancer. Under the early access program, Impatients will engage in activities to secure authorization, exemption or waiver from regulatory authorities for patient use of ThermoDox ® that may otherwise be subject to approvals from such regulatory authorities before the sale and distribution of ThermoDox ® in the relevant territories. We will be responsible for the manufacture and supply of quantities of ThermoDox ® to Impatients for use in the Early Access Program and Impatients will distribute and sell ThermoDox ® pursuant to such authorization, exemptions or waivers. On August 10, 2015, we expanded the Early Access Program with myTomorrows to include patients with primary liver cancer, also known as hepatocellular carcinoma, and liver cancer metastases, in all of the European Union territory, Switzerland, Turkey and Israel.</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2014, we completed the acquisition of substantially all of the assets of EGEN, Inc., an Alabama corporation (EGEN), pursuant to an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92" w:lineRule="exact"/>
        <w:rPr>
          <w:sz w:val="20"/>
          <w:szCs w:val="20"/>
          <w:color w:val="auto"/>
        </w:rPr>
      </w:pPr>
    </w:p>
    <w:p>
      <w:pPr>
        <w:ind w:left="500" w:right="560" w:hanging="330"/>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224"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obligations to make the Earn-Out Payments will terminate on the seventh anniversary of the closing date.</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 $27.6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Acquired In-Process Research and Development (IPR&amp;D) consists of EGEN's drug technology platforms: GEN-1, TheraPlas™ and TheraSilence™. The fair value of the IPR&amp;D drug technology platforms was estimated to be $25.8 million as of the acquisition date. As of the closing of the acquisition, the IPR&amp;D is considered indefinite lived intangible assets and will not be amortized. IPR&amp;D will be reviewed for possible impairment on an annual basis or more frequently if there appears to be an indication of impairment. The purchase price exceeds the estimated fair value of the net assets acquired by approximately $2.0 million which was recorded as goodwill.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The OVATION Study. </w:t>
      </w:r>
      <w:r>
        <w:rPr>
          <w:rFonts w:ascii="Arial" w:cs="Arial" w:eastAsia="Arial" w:hAnsi="Arial"/>
          <w:sz w:val="18"/>
          <w:szCs w:val="18"/>
          <w:color w:val="auto"/>
        </w:rPr>
        <w:t>In February 2015, we announced that the FDA accepted, without objection, the Phase I dose-escalation clinical trial of GEN-1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246" w:lineRule="exact"/>
        <w:rPr>
          <w:sz w:val="20"/>
          <w:szCs w:val="20"/>
          <w:color w:val="auto"/>
        </w:rPr>
      </w:pPr>
    </w:p>
    <w:p>
      <w:pPr>
        <w:ind w:left="50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224" w:lineRule="exact"/>
        <w:rPr>
          <w:rFonts w:ascii="Arial" w:cs="Arial" w:eastAsia="Arial" w:hAnsi="Arial"/>
          <w:sz w:val="18"/>
          <w:szCs w:val="18"/>
          <w:color w:val="auto"/>
        </w:rPr>
      </w:pPr>
    </w:p>
    <w:p>
      <w:pPr>
        <w:ind w:left="500" w:right="66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initiated the study at four clinical sites at the University of Alabama at Birmingham, Oklahoma University Medical Center, Washington University in St. Louis and the Medical College of Wisconsin. In February 2016, we announced the completion of enrollment of the first cohort of patients in the OVATION Study. The OVATION Study will continue into 2016 at higher doses of GEN-1 with the goal to identify a safe, tolerable and therapeutically active dose of GEN-1 by recruiting and maximizing an immune response.</w:t>
      </w:r>
    </w:p>
    <w:p>
      <w:pPr>
        <w:spacing w:after="0" w:line="187"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On May 2, 2016 and July 25, 2016, we announced data from the first and second cohorts of patients in the OVATION Study, respectively. The OVATION Study is designed to enroll three to six patients per dose cohort and will continue into 2016 at higher doses of GEN-1 with the goal to identify a safe, tolerable and therapeutically active dose of GEN-1 by recruiting and maximizing an immune response. The first two cohorts each enrolled three patients. Enrollment in the third cohort is ongoing, and Celsion expects to complete the OVATION Study this year. Future studies of GEN-1 will include a Phase I/II study combining GEN-1 with Avastin® and Doxil®. The results of the OVATION Study to date are as follows:</w:t>
      </w:r>
    </w:p>
    <w:p>
      <w:pPr>
        <w:spacing w:after="0" w:line="227" w:lineRule="exact"/>
        <w:rPr>
          <w:sz w:val="20"/>
          <w:szCs w:val="20"/>
          <w:color w:val="auto"/>
        </w:rPr>
      </w:pPr>
    </w:p>
    <w:p>
      <w:pPr>
        <w:ind w:left="500" w:right="20" w:hanging="330"/>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the first six patients dosed, one patient demonstrated a complete response (CR), two patients demonstrated a partial response (PR) and three patients demonstrated stable disease (SD), as measured by RECIST criteria.</w:t>
      </w:r>
    </w:p>
    <w:p>
      <w:pPr>
        <w:spacing w:after="0" w:line="224" w:lineRule="exact"/>
        <w:rPr>
          <w:rFonts w:ascii="Arial" w:cs="Arial" w:eastAsia="Arial" w:hAnsi="Arial"/>
          <w:sz w:val="18"/>
          <w:szCs w:val="18"/>
          <w:color w:val="auto"/>
        </w:rPr>
      </w:pPr>
    </w:p>
    <w:p>
      <w:pPr>
        <w:ind w:left="500" w:right="180" w:hanging="330"/>
        <w:spacing w:after="0" w:line="259"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Five patients had successful resections of their tumors, with two patients having an R0 resection, which indicates a microscopically margin-negative resection in which no gross or microscopic tumor remains in the tumor bed and three patients with a R1 resection, indicating microscopic residual tumor. One patient in the second cohort is currently ineligible for debulking surgery due to a medical complication unrelated to the study or the study drug.</w:t>
      </w:r>
    </w:p>
    <w:p>
      <w:pPr>
        <w:spacing w:after="0" w:line="240" w:lineRule="exact"/>
        <w:rPr>
          <w:rFonts w:ascii="Arial" w:cs="Arial" w:eastAsia="Arial" w:hAnsi="Arial"/>
          <w:sz w:val="18"/>
          <w:szCs w:val="18"/>
          <w:color w:val="auto"/>
        </w:rPr>
      </w:pPr>
    </w:p>
    <w:p>
      <w:pPr>
        <w:ind w:left="500" w:right="60" w:hanging="330"/>
        <w:spacing w:after="0" w:line="297"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 the five surgically treated and evaluable patients, one patient (20%) demonstrated a pathological complete response (pCR), two patients (40%) demonstrated a micro pathological response (microPR), and two patients (40%) demonstrated a macroPR. These data compare favorably to historical data, which indicate that pCRs are typically seen in less than 7% of patients receiving neoadjuvant chemotherapy followed by surgical resection. pCRs have been associated with a median overall survival of 72 months, which is more than three years longer than those who do not experience a pCR. In addition, microPRs are seen in approximately 30% of patients, and are associated with a median overall survival of 38 months.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15, 2016, we announced that the independent Data Safety Monitoring Board (DSMB) completed its safety review of data from the first three patient cohorts in the ongoing Phase Ib OVATION Study. Based on the DSMB's recommendation, the study will continue as planned and the Company will proceed with dosing in its fourth and final patient cohort at an escalated dose.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GEN-1 Plus Doxil ® and Avastin ®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We expect to enroll patients beginning in the first half of 2017.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left="500" w:right="40" w:hanging="330"/>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240" w:lineRule="exact"/>
        <w:rPr>
          <w:rFonts w:ascii="Arial" w:cs="Arial" w:eastAsia="Arial" w:hAnsi="Arial"/>
          <w:sz w:val="18"/>
          <w:szCs w:val="18"/>
          <w:color w:val="auto"/>
        </w:rPr>
      </w:pPr>
    </w:p>
    <w:p>
      <w:pPr>
        <w:ind w:left="500" w:right="20" w:hanging="330"/>
        <w:spacing w:after="0" w:line="26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spacing w:after="0" w:line="235" w:lineRule="exact"/>
        <w:rPr>
          <w:rFonts w:ascii="Arial" w:cs="Arial" w:eastAsia="Arial" w:hAnsi="Arial"/>
          <w:sz w:val="18"/>
          <w:szCs w:val="18"/>
          <w:color w:val="auto"/>
        </w:rPr>
      </w:pPr>
    </w:p>
    <w:p>
      <w:pPr>
        <w:jc w:val="both"/>
        <w:ind w:left="500" w:right="140" w:hanging="330"/>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 and Licensing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9, 2016, we signed a long-term Technology Transfer, Manufacturing and Commercial Supply Agreement (the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79" w:lineRule="exact"/>
        <w:rPr>
          <w:sz w:val="20"/>
          <w:szCs w:val="20"/>
          <w:color w:val="auto"/>
        </w:rPr>
      </w:pPr>
    </w:p>
    <w:p>
      <w:pPr>
        <w:ind w:left="500" w:hanging="330"/>
        <w:spacing w:after="0"/>
        <w:tabs>
          <w:tab w:leader="none" w:pos="5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GEN-1 Agreement has targeted unit costs for clinical supplies of GEN-1 that are substantially competitive with the Company’s current suppliers;</w:t>
      </w:r>
    </w:p>
    <w:p>
      <w:pPr>
        <w:spacing w:after="0" w:line="302" w:lineRule="exact"/>
        <w:rPr>
          <w:rFonts w:ascii="Arial" w:cs="Arial" w:eastAsia="Arial" w:hAnsi="Arial"/>
          <w:sz w:val="16"/>
          <w:szCs w:val="16"/>
          <w:b w:val="1"/>
          <w:bCs w:val="1"/>
          <w:color w:val="auto"/>
        </w:rPr>
      </w:pPr>
    </w:p>
    <w:p>
      <w:pPr>
        <w:ind w:left="500" w:hanging="330"/>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79" w:lineRule="exact"/>
        <w:rPr>
          <w:rFonts w:ascii="Arial" w:cs="Arial" w:eastAsia="Arial" w:hAnsi="Arial"/>
          <w:sz w:val="18"/>
          <w:szCs w:val="18"/>
          <w:b w:val="1"/>
          <w:bCs w:val="1"/>
          <w:color w:val="auto"/>
        </w:rPr>
      </w:pPr>
    </w:p>
    <w:p>
      <w:pPr>
        <w:ind w:left="500" w:right="440" w:hanging="330"/>
        <w:spacing w:after="0" w:line="277"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224" w:lineRule="exact"/>
        <w:rPr>
          <w:rFonts w:ascii="Arial" w:cs="Arial" w:eastAsia="Arial" w:hAnsi="Arial"/>
          <w:sz w:val="18"/>
          <w:szCs w:val="18"/>
          <w:b w:val="1"/>
          <w:bCs w:val="1"/>
          <w:color w:val="auto"/>
        </w:rPr>
      </w:pPr>
    </w:p>
    <w:p>
      <w:pPr>
        <w:ind w:left="500" w:right="80" w:hanging="330"/>
        <w:spacing w:after="0" w:line="277"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224" w:lineRule="exact"/>
        <w:rPr>
          <w:rFonts w:ascii="Arial" w:cs="Arial" w:eastAsia="Arial" w:hAnsi="Arial"/>
          <w:sz w:val="18"/>
          <w:szCs w:val="18"/>
          <w:b w:val="1"/>
          <w:bCs w:val="1"/>
          <w:color w:val="auto"/>
        </w:rPr>
      </w:pPr>
    </w:p>
    <w:p>
      <w:pPr>
        <w:ind w:left="500" w:right="140" w:hanging="330"/>
        <w:spacing w:after="0" w:line="277"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Celsion's proprietary heat-activated liposomal encapsulation of doxorubicin.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2014 and 2015 and thus far in 2016, we issued a total of 9.2 million shares of common stock in the following equity transactions for an aggregate $29.6 million in gross proceeds.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9" w:name="page30"/>
    <w:bookmarkEnd w:id="29"/>
    <w:p>
      <w:pPr>
        <w:ind w:left="500" w:right="220" w:hanging="330"/>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June 16, 2016, we entered into a Securities Purchase Agreement with certain institutional investors, pursuant to which the Company sold, in a registered offering, an aggregate of 2,311,764 shares of its common stock and warrants to purchase up to 10,923,528 shares of common stock, for an aggregate purchase price of approximately $6.0 million.</w:t>
      </w:r>
    </w:p>
    <w:p>
      <w:pPr>
        <w:spacing w:after="0" w:line="235" w:lineRule="exact"/>
        <w:rPr>
          <w:rFonts w:ascii="Arial" w:cs="Arial" w:eastAsia="Arial" w:hAnsi="Arial"/>
          <w:sz w:val="18"/>
          <w:szCs w:val="18"/>
          <w:color w:val="auto"/>
        </w:rPr>
      </w:pPr>
    </w:p>
    <w:p>
      <w:pPr>
        <w:ind w:left="500" w:hanging="330"/>
        <w:spacing w:after="0" w:line="31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200" w:lineRule="exact"/>
        <w:rPr>
          <w:rFonts w:ascii="Arial" w:cs="Arial" w:eastAsia="Arial" w:hAnsi="Arial"/>
          <w:sz w:val="16"/>
          <w:szCs w:val="16"/>
          <w:color w:val="auto"/>
        </w:rPr>
      </w:pPr>
    </w:p>
    <w:p>
      <w:pPr>
        <w:ind w:left="500" w:right="220" w:hanging="330"/>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w:t>
      </w:r>
    </w:p>
    <w:p>
      <w:pPr>
        <w:spacing w:after="0" w:line="235" w:lineRule="exact"/>
        <w:rPr>
          <w:rFonts w:ascii="Arial" w:cs="Arial" w:eastAsia="Arial" w:hAnsi="Arial"/>
          <w:sz w:val="18"/>
          <w:szCs w:val="18"/>
          <w:color w:val="auto"/>
        </w:rPr>
      </w:pPr>
    </w:p>
    <w:p>
      <w:pPr>
        <w:ind w:left="500" w:right="60" w:hanging="330"/>
        <w:spacing w:after="0" w:line="255"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party to a Controlled Equity Offering SM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18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costs incurred in connection with the acquisition.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cash equivalents and short-term investments of $8.7 million on hand at September 30, 2016, coupled with our access to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Please refer to Item IA, Risk Factors, including, but not limited to, </w:t>
      </w:r>
      <w:r>
        <w:rPr>
          <w:rFonts w:ascii="Arial" w:cs="Arial" w:eastAsia="Arial" w:hAnsi="Arial"/>
          <w:sz w:val="18"/>
          <w:szCs w:val="18"/>
          <w:b w:val="1"/>
          <w:bCs w:val="1"/>
          <w:i w:val="1"/>
          <w:iCs w:val="1"/>
          <w:color w:val="auto"/>
        </w:rPr>
        <w:t>“We will need to raise substantial additional capital to fund our planned future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operations, and we may be unable to secure such capital without dilutive financing transactions. If we are not able to raise additional capital, we may not be able to complete the development, testing and commercialization of our product candidate</w:t>
      </w:r>
      <w:r>
        <w:rPr>
          <w:rFonts w:ascii="Arial" w:cs="Arial" w:eastAsia="Arial" w:hAnsi="Arial"/>
          <w:sz w:val="18"/>
          <w:szCs w:val="18"/>
          <w:b w:val="1"/>
          <w:bCs w:val="1"/>
          <w:color w:val="auto"/>
        </w:rPr>
        <w:t>s. ”</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REVIEW FOR THE THREE AND NINE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2016, our net loss was $6.4 million compared to a net loss of $4.3 million for the same period of 2015. For the nine months ended September 30, 2016, our net loss was $16.7 million compared to a net loss of $16.9 million for the same period of 2015. As of September 30, 2016, we had $8.7 million in cash and short-term investments.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jc w:val="right"/>
              <w:ind w:right="83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Change</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Clinical research</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1,938</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Chemistry, manufacturing and controls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2,883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4,367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(5,596)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(4,242)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(1,354)</w:t>
            </w:r>
          </w:p>
        </w:tc>
        <w:tc>
          <w:tcPr>
            <w:tcW w:w="6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8"/>
          </w:tcPr>
          <w:p>
            <w:pPr>
              <w:jc w:val="right"/>
              <w:ind w:right="870"/>
              <w:spacing w:after="0"/>
              <w:rPr>
                <w:sz w:val="20"/>
                <w:szCs w:val="20"/>
                <w:color w:val="auto"/>
              </w:rPr>
            </w:pPr>
            <w:r>
              <w:rPr>
                <w:rFonts w:ascii="Arial" w:cs="Arial" w:eastAsia="Arial" w:hAnsi="Arial"/>
                <w:sz w:val="18"/>
                <w:szCs w:val="18"/>
                <w:b w:val="1"/>
                <w:bCs w:val="1"/>
                <w:color w:val="auto"/>
                <w:w w:val="89"/>
              </w:rPr>
              <w:t>Nine Months Ended September 30,</w:t>
            </w: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7"/>
              </w:rPr>
              <w:t>Change</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78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Clinical research</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9,827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8,265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Chemistry, manufacturing and controls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10,958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16,275</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(384)</w:t>
            </w:r>
          </w:p>
        </w:tc>
        <w:tc>
          <w:tcPr>
            <w:tcW w:w="6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(15,516)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(15,900)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6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9"/>
              </w:rPr>
              <w:t>Comparison of the Three Months ended September 30, 2016 and 2015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third quarters of 2016 and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(R&amp;D) expenses increased by $1.3 million to $4.2 million in the third quarter of 2016 from $2.9 million in the same period of 2015. Costs associated with the OPTIMA Study were $1.9 million in the third quarter of 2016 compared to $1.0 million in the same period of 2015. Increased costs in the OPTIMA Study are associated with patient enrollment and treatment costs and investigator site initiation expenses. Study costs associated with the HEAT Study were $0.2 million in the third quarter of 2016 as the Company performed its final post-hoc survival analysis for this study. These costs were insignificant in the third quarter of 2015. The costs associated with the HEAT Study are expected to be minimal as we will be in the process of closing out the study. Costs associated with our recurrent chest wall breast cancer clinical trial were $0.1 million in each of the third quarters of 2016 and 2015. Other clinical costs were $0.8 million in the third quarter of 2016 compared to $0.4 million in the same period of 2015. The increase of other clinical costs is associated with activities to support the Company’s ThermoDox® studies in Europe. Preclinical and regulatory costs were $0.1 million in the third quarter of 2016. The Company signed an amendment to a Cooperative Research and Development Agreement with the NIH which resulted in a $0.8 million downward adjustment to previously accrued contract liability costs. Preclinical and regulatory costs were $0.6 million lower in the third quarter of 2015 compared the same period of 2016mainly as the result of the one-time adjustment recognized in the prior year. Costs associated with the production of ThermoDox® to support the OPTIMA Study decreased to $0.4 million in the third quarter of 2016 compared to $1.0 million the same period of 2015. R&amp;D costs associated with GEN-1 were $0.7 million in the third quarter of 2016 compared to $0.9 million the same period of 2015. In 2015, the Company produced sufficient quantities of GEN-1 and related components to fulfil its GEN-1 clinical study requirements into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(G&amp;A) expenses remained relatively unchanged at $1.5 million in the third quarter of 2016 compared to the same period of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take those steps necessary to reduce our overhead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September 30, 2016, the Company fair valued these milestones at $14.5 million and recognized a non-cash charge of $0.7 million in the third quarter of 2016 as a result of the change in the fair value of these milestones from $13.8 million at June 30, 2016. The Company recognized a non-cash benefit of $0.3 million in the third quarter of 2015 as a result of the change in the fair value of these milestones at $13.6 million at September 30, 2015 from $13.9 million at June 30,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its debt facilities the Company incurred $0.2 million and $0.3 million in interest expense in the three month periods ended September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$375,000 in each of the first nine months of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R&amp;D expenses remained relatively unchanged at $11.0 million in each of the first nine months of 2016 and 2015. Costs associated with the OPTIMA Study were $4.4 million in the first nine months of 2016 compared to $2.8 million in the same period of 2015. Increased costs in the OPTIMA Study are associated with patient enrollment and treatment costs and investigator site initiation expenses. Study costs associated with the HEAT Study were $0.2 million in the first nine months of 2016 compared to $0.3 million in the same period of 2015. Costs are expected to be minimal as we will be in the process of closing out the study. Costs associated with our recurrent chest wall breast cancer clinical trial were $0.2 million in each of the first nine months of 2016 and 2015. Other clinical costs were $2.5 million in the first nine months of 2016 compared to $1.5 million in the same period of 2015. The increase of other clinical costs is associated with costs to support the Company’s ThermoDox® studies in Europe. ThermoDox® preclinical and regulatory costs were $0.3 million in the first nine months of 2016 compared to $0.2 million in the same period of 2015. As noted above, the Company signed an amendment to a Cooperative Research and Development Agreement with the NIH which resulted in a $0.8 million downward adjustment to previously accrued contract liability costs in the current year. Costs associated with the production of ThermoDox® to support the OPTIMA Study decreased to $1.2 million in the first nine months of 2016 compared to $2.7 million the same period of 2015. R&amp;D costs associated with GEN-1 were $2.3 million in the first nine months of 2016 compared to $3.3 million the same period of 2015. In 2015, the Company produced sufficient quantities of GEN-1 and related components to fulfill its GEN-1 clinical study requirements into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decreased by $0.4 million to $4.9 million in the first nine months of 2016 compared to $5.3 million the same period of 2015. This decrease is attributable to lower personnel costs and profession fees in 2016. We continue to take those steps necessary to reduce our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September 30, 2016, the Company fair valued these milestones at $14.5 million and recognized a non-cash charge of $0.6 million in the first nine months of 2016 as a result of the change in the fair value of these milestones from $13.9 million at December 31, 2015. In the first nine months of 2015, the fair value of these milestones of $13.6 million remained relatively unchanged at September 30, 2015 and December 31, 2014. The Company recognized a non-cash benefit of $41,422 during the first nine months of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its debt facilities the Company incurred $0.6 million and $1.1 million in interest expense in the nine month periods ended September 30,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$236 million at September 30, 2016.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2016, we had total current assets of $9.0 million (including cash and cash equivalents and short-term investments of $8.7 million) and current liabilities of $9.8 million, resulting in net working capital deficit of $0.8 million. At December 31, 2015, we had total current assets of $20.3 million (including cash, cash equivalents and short term investments and related interest receivable on short-term investments of $20.1 million) and current liabilities of $9.3 million, resulting in net working capital of $11.0 million.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operating activities for the first nine months of 2016 was $13.7 million. Our 2016 net loss for the nine month period ended September 30, 2016 included $1.3 million in non-cash stock-based compensation expense and $0.6 million in a non-cash loss based on the change in the earn-out milestone liability.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$13.7 million net cash used in operating activities was mostly funded from cash and short term investments. At September 30, 2016, we had cash and short term investments of $8.7 million.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provided by financing activities was $2.4 million during the nine month period ended September 30, 2016 which resulted from net proceeds of $5.4 million from the sale of our common stock in the second quarter of 2016 partially offset by principal payments of $3.0 million on the Hercules Credit Agreement.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16, 2016, we entered into a Securities Purchase Agreement with certain institutional investors, pursuant to which the Company sold, in a registered offering, an aggregate of 2,311,764 shares of its common stock and warrants to purchase up to 10,923,528 shares of common stock, for an aggregate purchase price of approximately $6.0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7"/>
          <w:szCs w:val="17"/>
          <w:color w:val="auto"/>
        </w:rPr>
        <w:t>In February 2013, we entered into a Controlled Equity Offering SM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$7.4 million in net proceeds.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and short-term investment resources of $8.7 million on hand at September 30, 2016, coupled with the remaining availability of $17.4 million under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 As explained in the notes to our financial statements, if the Company is not able to raise additional funds when needed, there would be substantial doubt as to the Company’s ability to continue as a going concern.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nine months ended September 30, 2016 to our operating leases, which are disclosed in the contractual commitments table in our Annual Report on Form 10-K and on Form 10-K/A for the fiscal year ended December 31, 2015 filed on March 30, 2016 and April 29, 2016, respectively,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2016,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nine months ended September 30, 2016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2015 filed on March 30, 2016 with the Securities and Exchange Commission (SEC) and on Form 10-K/A for the fiscal year ended December 31, 2015 filed on April 29, 2016 with the SEC. In assessing these risks, investors should also refer to the other information contained or incorporated by reference in this Quarterly Report and our other filings made from time to time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$236 million at September 30, 2016. For the years ended December 31, 2013, 2014 and 2015 and the nine months ended September 30, 2016, we incurred a net loss of $8.3 million, $25.5 million, $22.5 million and $16.7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6" w:name="page37"/>
    <w:bookmarkEnd w:id="36"/>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 If we were not able to raise additional capital when needed, there would be substantial doubt as to the our ability to continue as a going concern,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September 30, 2016, we had approximately $8.7 million in cash and cash equivalents. We have substantial future capital requirements to continue our research and development activities and advance our drug candidates through various development stages, including the product candidates and technology platforms that we purchased from EGEN, Inc. in June 2014.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As explained in the notes to our financial statements, if the Company is not able to raise additional funds when needed, there would be substantial doubt as to the Company’s ability to continue as a going concern.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88"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79" w:lineRule="exact"/>
        <w:rPr>
          <w:rFonts w:ascii="Arial" w:cs="Arial" w:eastAsia="Arial" w:hAnsi="Arial"/>
          <w:sz w:val="18"/>
          <w:szCs w:val="18"/>
          <w:color w:val="auto"/>
        </w:rPr>
      </w:pPr>
    </w:p>
    <w:p>
      <w:pPr>
        <w:ind w:left="500" w:right="52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79" w:lineRule="exact"/>
        <w:rPr>
          <w:rFonts w:ascii="Arial" w:cs="Arial" w:eastAsia="Arial" w:hAnsi="Arial"/>
          <w:sz w:val="18"/>
          <w:szCs w:val="18"/>
          <w:color w:val="auto"/>
        </w:rPr>
      </w:pPr>
    </w:p>
    <w:p>
      <w:pPr>
        <w:ind w:left="500" w:right="2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224" w:lineRule="exact"/>
        <w:rPr>
          <w:rFonts w:ascii="Arial" w:cs="Arial" w:eastAsia="Arial" w:hAnsi="Arial"/>
          <w:sz w:val="18"/>
          <w:szCs w:val="18"/>
          <w:color w:val="auto"/>
        </w:rPr>
      </w:pPr>
    </w:p>
    <w:p>
      <w:pPr>
        <w:ind w:left="500" w:right="28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79"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224"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may prove not to be effective in practice.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$3.15 and a low price of $1.65 in the 52-week period ended December 31, 2015 and a high price of $1.93 and a low price of $0.89 from January 2, 2016 through November 9, 2016.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and regulations applicable to our product candidates;</w:t>
      </w:r>
    </w:p>
    <w:p>
      <w:pPr>
        <w:spacing w:after="0" w:line="290" w:lineRule="exact"/>
        <w:rPr>
          <w:rFonts w:ascii="Arial" w:cs="Arial" w:eastAsia="Arial" w:hAnsi="Arial"/>
          <w:sz w:val="17"/>
          <w:szCs w:val="17"/>
          <w:color w:val="auto"/>
        </w:rPr>
      </w:pPr>
    </w:p>
    <w:p>
      <w:pPr>
        <w:ind w:left="340" w:hanging="170"/>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 candidates, clinical studies, manufacturing process or sales and marketing terms;</w:t>
      </w:r>
    </w:p>
    <w:p>
      <w:pPr>
        <w:spacing w:after="0" w:line="290" w:lineRule="exact"/>
        <w:rPr>
          <w:rFonts w:ascii="Arial" w:cs="Arial" w:eastAsia="Arial" w:hAnsi="Arial"/>
          <w:sz w:val="17"/>
          <w:szCs w:val="17"/>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79" w:lineRule="exact"/>
        <w:rPr>
          <w:rFonts w:ascii="Arial" w:cs="Arial" w:eastAsia="Arial" w:hAnsi="Arial"/>
          <w:sz w:val="18"/>
          <w:szCs w:val="18"/>
          <w:color w:val="auto"/>
        </w:rPr>
      </w:pPr>
    </w:p>
    <w:p>
      <w:pPr>
        <w:ind w:left="340" w:right="140" w:hanging="170"/>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224"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79"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9, 2016, we had 26,078,814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November 9, 2016, we have a significant number of securities convertible into, or allowing the purchase of, our common stock, including 15,948,544 shares of common stock issuable upon exercise of warrants outstanding, 2,997,827 options to purchase shares of our common stock and restricted stock awards outstanding, and 535,679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only sold $7.6 million under the Sales Agreement as of November 9, 2016.</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November 9, 2016, the closing sale price of our common stock was $0.92, the total market value of our publicly held shares of our common stock (excluding shares held by our executive officers, directors and 10% or more stockholders) was approximately $24 million and the total market value of our listed securities was approximately $24 million. There is no assurance that we will continue to meet the minimum closing price requirement and other listing requirements. As of September 30, 2016, we had stockholders’ equity of $10.6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2015, 2014, 2013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on July 25, 2011, February 5, 2013, June 3, 2013 and on June 1,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jc w:val="center"/>
        <w:ind w:right="749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500"/>
              <w:spacing w:after="0"/>
              <w:rPr>
                <w:sz w:val="20"/>
                <w:szCs w:val="20"/>
                <w:color w:val="auto"/>
              </w:rPr>
            </w:pPr>
            <w:r>
              <w:rPr>
                <w:rFonts w:ascii="Arial" w:cs="Arial" w:eastAsia="Arial" w:hAnsi="Arial"/>
                <w:sz w:val="18"/>
                <w:szCs w:val="18"/>
                <w:color w:val="auto"/>
                <w:w w:val="94"/>
              </w:rPr>
              <w:t>Amended and Restated Change in Control Agreement dated as of September 6, 2016, by and between the Company and Michael H.</w:t>
            </w:r>
          </w:p>
        </w:tc>
      </w:tr>
      <w:tr>
        <w:trPr>
          <w:trHeight w:val="230"/>
        </w:trPr>
        <w:tc>
          <w:tcPr>
            <w:tcW w:w="760" w:type="dxa"/>
            <w:vAlign w:val="bottom"/>
          </w:tcPr>
          <w:p>
            <w:pPr>
              <w:spacing w:after="0"/>
              <w:rPr>
                <w:sz w:val="20"/>
                <w:szCs w:val="20"/>
                <w:color w:val="auto"/>
              </w:rPr>
            </w:pPr>
          </w:p>
        </w:tc>
        <w:tc>
          <w:tcPr>
            <w:tcW w:w="10560" w:type="dxa"/>
            <w:vAlign w:val="bottom"/>
          </w:tcPr>
          <w:p>
            <w:pPr>
              <w:ind w:left="500"/>
              <w:spacing w:after="0"/>
              <w:rPr>
                <w:sz w:val="20"/>
                <w:szCs w:val="20"/>
                <w:color w:val="auto"/>
              </w:rPr>
            </w:pPr>
            <w:r>
              <w:rPr>
                <w:rFonts w:ascii="Arial" w:cs="Arial" w:eastAsia="Arial" w:hAnsi="Arial"/>
                <w:sz w:val="18"/>
                <w:szCs w:val="18"/>
                <w:color w:val="auto"/>
              </w:rPr>
              <w:t>Tardugno.</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500"/>
              <w:spacing w:after="0"/>
              <w:rPr>
                <w:sz w:val="20"/>
                <w:szCs w:val="20"/>
                <w:color w:val="auto"/>
              </w:rPr>
            </w:pPr>
            <w:r>
              <w:rPr>
                <w:rFonts w:ascii="Arial" w:cs="Arial" w:eastAsia="Arial" w:hAnsi="Arial"/>
                <w:sz w:val="18"/>
                <w:szCs w:val="18"/>
                <w:color w:val="auto"/>
                <w:w w:val="91"/>
              </w:rPr>
              <w:t>Amended and Restated Change in Control Agreement dated as of September 6, 2016, by and between the Company and Nicholas Borys,</w:t>
            </w:r>
          </w:p>
        </w:tc>
      </w:tr>
      <w:tr>
        <w:trPr>
          <w:trHeight w:val="230"/>
        </w:trPr>
        <w:tc>
          <w:tcPr>
            <w:tcW w:w="760" w:type="dxa"/>
            <w:vAlign w:val="bottom"/>
          </w:tcPr>
          <w:p>
            <w:pPr>
              <w:spacing w:after="0"/>
              <w:rPr>
                <w:sz w:val="20"/>
                <w:szCs w:val="20"/>
                <w:color w:val="auto"/>
              </w:rPr>
            </w:pPr>
          </w:p>
        </w:tc>
        <w:tc>
          <w:tcPr>
            <w:tcW w:w="10560" w:type="dxa"/>
            <w:vAlign w:val="bottom"/>
          </w:tcPr>
          <w:p>
            <w:pPr>
              <w:ind w:left="500"/>
              <w:spacing w:after="0"/>
              <w:rPr>
                <w:sz w:val="20"/>
                <w:szCs w:val="20"/>
                <w:color w:val="auto"/>
              </w:rPr>
            </w:pPr>
            <w:r>
              <w:rPr>
                <w:rFonts w:ascii="Arial" w:cs="Arial" w:eastAsia="Arial" w:hAnsi="Arial"/>
                <w:sz w:val="18"/>
                <w:szCs w:val="18"/>
                <w:color w:val="auto"/>
              </w:rPr>
              <w:t>M.D.</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500"/>
              <w:spacing w:after="0"/>
              <w:rPr>
                <w:sz w:val="20"/>
                <w:szCs w:val="20"/>
                <w:color w:val="auto"/>
              </w:rPr>
            </w:pPr>
            <w:r>
              <w:rPr>
                <w:rFonts w:ascii="Arial" w:cs="Arial" w:eastAsia="Arial" w:hAnsi="Arial"/>
                <w:sz w:val="18"/>
                <w:szCs w:val="18"/>
                <w:color w:val="auto"/>
                <w:w w:val="89"/>
              </w:rPr>
              <w:t>Amended and Restated Change in Control Agreement dated as of September 6, 2016, by and between the Company and Jeffrey W. Church.</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500"/>
              <w:spacing w:after="0"/>
              <w:rPr>
                <w:sz w:val="20"/>
                <w:szCs w:val="20"/>
                <w:color w:val="auto"/>
              </w:rPr>
            </w:pPr>
            <w:r>
              <w:rPr>
                <w:rFonts w:ascii="Arial" w:cs="Arial" w:eastAsia="Arial" w:hAnsi="Arial"/>
                <w:sz w:val="18"/>
                <w:szCs w:val="18"/>
                <w:color w:val="auto"/>
                <w:w w:val="95"/>
              </w:rPr>
              <w:t>Amended and Restated Change in Control Agreement dated as of September 6, 2016, by and between the Company and Timothy J</w:t>
            </w:r>
          </w:p>
        </w:tc>
      </w:tr>
      <w:tr>
        <w:trPr>
          <w:trHeight w:val="230"/>
        </w:trPr>
        <w:tc>
          <w:tcPr>
            <w:tcW w:w="760" w:type="dxa"/>
            <w:vAlign w:val="bottom"/>
          </w:tcPr>
          <w:p>
            <w:pPr>
              <w:spacing w:after="0"/>
              <w:rPr>
                <w:sz w:val="20"/>
                <w:szCs w:val="20"/>
                <w:color w:val="auto"/>
              </w:rPr>
            </w:pPr>
          </w:p>
        </w:tc>
        <w:tc>
          <w:tcPr>
            <w:tcW w:w="10560" w:type="dxa"/>
            <w:vAlign w:val="bottom"/>
          </w:tcPr>
          <w:p>
            <w:pPr>
              <w:ind w:left="500"/>
              <w:spacing w:after="0"/>
              <w:rPr>
                <w:sz w:val="20"/>
                <w:szCs w:val="20"/>
                <w:color w:val="auto"/>
              </w:rPr>
            </w:pPr>
            <w:r>
              <w:rPr>
                <w:rFonts w:ascii="Arial" w:cs="Arial" w:eastAsia="Arial" w:hAnsi="Arial"/>
                <w:sz w:val="18"/>
                <w:szCs w:val="18"/>
                <w:color w:val="auto"/>
              </w:rPr>
              <w:t>Tumminello.</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5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Sarbanes-Oxley</w:t>
            </w:r>
          </w:p>
        </w:tc>
      </w:tr>
      <w:tr>
        <w:trPr>
          <w:trHeight w:val="230"/>
        </w:trPr>
        <w:tc>
          <w:tcPr>
            <w:tcW w:w="760" w:type="dxa"/>
            <w:vAlign w:val="bottom"/>
          </w:tcPr>
          <w:p>
            <w:pPr>
              <w:spacing w:after="0"/>
              <w:rPr>
                <w:sz w:val="20"/>
                <w:szCs w:val="20"/>
                <w:color w:val="auto"/>
              </w:rPr>
            </w:pPr>
          </w:p>
        </w:tc>
        <w:tc>
          <w:tcPr>
            <w:tcW w:w="10560" w:type="dxa"/>
            <w:vAlign w:val="bottom"/>
          </w:tcPr>
          <w:p>
            <w:pPr>
              <w:ind w:left="500"/>
              <w:spacing w:after="0"/>
              <w:rPr>
                <w:sz w:val="20"/>
                <w:szCs w:val="20"/>
                <w:color w:val="auto"/>
              </w:rPr>
            </w:pPr>
            <w:r>
              <w:rPr>
                <w:rFonts w:ascii="Arial" w:cs="Arial" w:eastAsia="Arial" w:hAnsi="Arial"/>
                <w:sz w:val="18"/>
                <w:szCs w:val="18"/>
                <w:color w:val="auto"/>
              </w:rPr>
              <w:t>Act of 2002.</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50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Sarbanes-Oxley</w:t>
            </w:r>
          </w:p>
        </w:tc>
      </w:tr>
      <w:tr>
        <w:trPr>
          <w:trHeight w:val="230"/>
        </w:trPr>
        <w:tc>
          <w:tcPr>
            <w:tcW w:w="760" w:type="dxa"/>
            <w:vAlign w:val="bottom"/>
          </w:tcPr>
          <w:p>
            <w:pPr>
              <w:spacing w:after="0"/>
              <w:rPr>
                <w:sz w:val="20"/>
                <w:szCs w:val="20"/>
                <w:color w:val="auto"/>
              </w:rPr>
            </w:pPr>
          </w:p>
        </w:tc>
        <w:tc>
          <w:tcPr>
            <w:tcW w:w="10560" w:type="dxa"/>
            <w:vAlign w:val="bottom"/>
          </w:tcPr>
          <w:p>
            <w:pPr>
              <w:ind w:left="500"/>
              <w:spacing w:after="0"/>
              <w:rPr>
                <w:sz w:val="20"/>
                <w:szCs w:val="20"/>
                <w:color w:val="auto"/>
              </w:rPr>
            </w:pPr>
            <w:r>
              <w:rPr>
                <w:rFonts w:ascii="Arial" w:cs="Arial" w:eastAsia="Arial" w:hAnsi="Arial"/>
                <w:sz w:val="18"/>
                <w:szCs w:val="18"/>
                <w:color w:val="auto"/>
              </w:rPr>
              <w:t>Act of 2002.</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5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300" w:hanging="1247"/>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310"/>
              <w:spacing w:after="0"/>
              <w:rPr>
                <w:sz w:val="20"/>
                <w:szCs w:val="20"/>
                <w:color w:val="auto"/>
              </w:rPr>
            </w:pPr>
            <w:r>
              <w:rPr>
                <w:rFonts w:ascii="Arial" w:cs="Arial" w:eastAsia="Arial" w:hAnsi="Arial"/>
                <w:sz w:val="18"/>
                <w:szCs w:val="18"/>
                <w:color w:val="auto"/>
                <w:w w:val="99"/>
              </w:rPr>
              <w:t>101**</w:t>
            </w:r>
          </w:p>
        </w:tc>
        <w:tc>
          <w:tcPr>
            <w:tcW w:w="10500" w:type="dxa"/>
            <w:vAlign w:val="bottom"/>
          </w:tcPr>
          <w:p>
            <w:pPr>
              <w:ind w:left="400"/>
              <w:spacing w:after="0"/>
              <w:rPr>
                <w:sz w:val="20"/>
                <w:szCs w:val="20"/>
                <w:color w:val="auto"/>
              </w:rPr>
            </w:pPr>
            <w:r>
              <w:rPr>
                <w:rFonts w:ascii="Arial" w:cs="Arial" w:eastAsia="Arial" w:hAnsi="Arial"/>
                <w:sz w:val="18"/>
                <w:szCs w:val="18"/>
                <w:color w:val="auto"/>
                <w:w w:val="95"/>
              </w:rPr>
              <w:t>The following materials from the Company’s Quarterly Report on Form 10-Q for the quarter ended September 30, 2016, formatted in</w:t>
            </w:r>
          </w:p>
        </w:tc>
      </w:tr>
      <w:tr>
        <w:trPr>
          <w:trHeight w:val="216"/>
        </w:trPr>
        <w:tc>
          <w:tcPr>
            <w:tcW w:w="86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8"/>
              </w:rPr>
              <w:t>XBRL (Extensible Business Reporting Language): (i) the unaudited Consolidated Balance Sheets, (ii) the unaudited Consolidated</w:t>
            </w:r>
          </w:p>
        </w:tc>
      </w:tr>
      <w:tr>
        <w:trPr>
          <w:trHeight w:val="216"/>
        </w:trPr>
        <w:tc>
          <w:tcPr>
            <w:tcW w:w="86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1"/>
              </w:rPr>
              <w:t>Statements of Operations, (iii) the unaudited Consolidated Statements of Comprehensive Loss, (iv) the unaudited Consolidated Statements</w:t>
            </w:r>
          </w:p>
        </w:tc>
      </w:tr>
      <w:tr>
        <w:trPr>
          <w:trHeight w:val="216"/>
        </w:trPr>
        <w:tc>
          <w:tcPr>
            <w:tcW w:w="860" w:type="dxa"/>
            <w:vAlign w:val="bottom"/>
          </w:tcPr>
          <w:p>
            <w:pPr>
              <w:spacing w:after="0"/>
              <w:rPr>
                <w:sz w:val="18"/>
                <w:szCs w:val="18"/>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w w:val="95"/>
              </w:rPr>
              <w:t>of Cash Flows, (v) the unaudited Consolidated Statements of Change in Stockholders' Equity (Deficit), and (vi) Notes to Consolidated</w:t>
            </w:r>
          </w:p>
        </w:tc>
      </w:tr>
      <w:tr>
        <w:trPr>
          <w:trHeight w:val="230"/>
        </w:trPr>
        <w:tc>
          <w:tcPr>
            <w:tcW w:w="860" w:type="dxa"/>
            <w:vAlign w:val="bottom"/>
          </w:tcPr>
          <w:p>
            <w:pPr>
              <w:spacing w:after="0"/>
              <w:rPr>
                <w:sz w:val="20"/>
                <w:szCs w:val="20"/>
                <w:color w:val="auto"/>
              </w:rPr>
            </w:pPr>
          </w:p>
        </w:tc>
        <w:tc>
          <w:tcPr>
            <w:tcW w:w="10500" w:type="dxa"/>
            <w:vAlign w:val="bottom"/>
          </w:tcPr>
          <w:p>
            <w:pPr>
              <w:ind w:left="400"/>
              <w:spacing w:after="0"/>
              <w:rPr>
                <w:sz w:val="20"/>
                <w:szCs w:val="20"/>
                <w:color w:val="auto"/>
              </w:rPr>
            </w:pPr>
            <w:r>
              <w:rPr>
                <w:rFonts w:ascii="Arial" w:cs="Arial" w:eastAsia="Arial" w:hAnsi="Arial"/>
                <w:sz w:val="18"/>
                <w:szCs w:val="18"/>
                <w:color w:val="auto"/>
              </w:rPr>
              <w:t>Financial Statements.</w:t>
            </w:r>
          </w:p>
        </w:tc>
      </w:tr>
    </w:tbl>
    <w:p>
      <w:pPr>
        <w:spacing w:after="0" w:line="202" w:lineRule="exact"/>
        <w:rPr>
          <w:sz w:val="20"/>
          <w:szCs w:val="20"/>
          <w:color w:val="auto"/>
        </w:rPr>
      </w:pPr>
    </w:p>
    <w:p>
      <w:pPr>
        <w:jc w:val="both"/>
        <w:ind w:left="1260" w:hanging="369"/>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1260" w:hanging="459"/>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rFonts w:ascii="Arial" w:cs="Arial" w:eastAsia="Arial" w:hAnsi="Arial"/>
          <w:sz w:val="18"/>
          <w:szCs w:val="18"/>
          <w:color w:val="auto"/>
        </w:rPr>
      </w:pPr>
    </w:p>
    <w:p>
      <w:pPr>
        <w:ind w:left="1260" w:hanging="550"/>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November 10, 2016</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3910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9860" w:type="dxa"/>
            <w:vAlign w:val="bottom"/>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6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tcPr>
          <w:p>
            <w:pPr>
              <w:ind w:left="520"/>
              <w:spacing w:after="0"/>
              <w:rPr>
                <w:sz w:val="20"/>
                <w:szCs w:val="20"/>
                <w:color w:val="auto"/>
              </w:rPr>
            </w:pPr>
            <w:r>
              <w:rPr>
                <w:rFonts w:ascii="Arial" w:cs="Arial" w:eastAsia="Arial" w:hAnsi="Arial"/>
                <w:sz w:val="18"/>
                <w:szCs w:val="18"/>
                <w:color w:val="auto"/>
                <w:w w:val="89"/>
              </w:rPr>
              <w:t>Amended and Restated Change in Control Agreement dated as of September 6, 2016, by and between the Company and Michael</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H. Tardugno.</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Pr>
          <w:p>
            <w:pPr>
              <w:ind w:left="520"/>
              <w:spacing w:after="0"/>
              <w:rPr>
                <w:sz w:val="20"/>
                <w:szCs w:val="20"/>
                <w:color w:val="auto"/>
              </w:rPr>
            </w:pPr>
            <w:r>
              <w:rPr>
                <w:rFonts w:ascii="Arial" w:cs="Arial" w:eastAsia="Arial" w:hAnsi="Arial"/>
                <w:sz w:val="18"/>
                <w:szCs w:val="18"/>
                <w:color w:val="auto"/>
                <w:w w:val="89"/>
              </w:rPr>
              <w:t>Amended and Restated Change in Control Agreement dated as of September 6, 2016, by and between the Company and Nicholas</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Borys, M.D.</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tcPr>
          <w:p>
            <w:pPr>
              <w:ind w:left="520"/>
              <w:spacing w:after="0"/>
              <w:rPr>
                <w:sz w:val="20"/>
                <w:szCs w:val="20"/>
                <w:color w:val="auto"/>
              </w:rPr>
            </w:pPr>
            <w:r>
              <w:rPr>
                <w:rFonts w:ascii="Arial" w:cs="Arial" w:eastAsia="Arial" w:hAnsi="Arial"/>
                <w:sz w:val="18"/>
                <w:szCs w:val="18"/>
                <w:color w:val="auto"/>
                <w:w w:val="90"/>
              </w:rPr>
              <w:t>Amended and Restated Change in Control Agreement dated as of September 6, 2016, by and between the Company and Jeffrey</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W. Church.</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Pr>
          <w:p>
            <w:pPr>
              <w:ind w:left="520"/>
              <w:spacing w:after="0"/>
              <w:rPr>
                <w:sz w:val="20"/>
                <w:szCs w:val="20"/>
                <w:color w:val="auto"/>
              </w:rPr>
            </w:pPr>
            <w:r>
              <w:rPr>
                <w:rFonts w:ascii="Arial" w:cs="Arial" w:eastAsia="Arial" w:hAnsi="Arial"/>
                <w:sz w:val="18"/>
                <w:szCs w:val="18"/>
                <w:color w:val="auto"/>
                <w:w w:val="89"/>
              </w:rPr>
              <w:t>Amended and Restated Change in Control Agreement dated as of September 6, 2016, by and between the Company and Timothy</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J Tumminello.</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9860" w:type="dxa"/>
            <w:vAlign w:val="bottom"/>
          </w:tcPr>
          <w:p>
            <w:pPr>
              <w:ind w:left="520"/>
              <w:spacing w:after="0"/>
              <w:rPr>
                <w:sz w:val="20"/>
                <w:szCs w:val="20"/>
                <w:color w:val="auto"/>
              </w:rPr>
            </w:pPr>
            <w:r>
              <w:rPr>
                <w:rFonts w:ascii="Arial" w:cs="Arial" w:eastAsia="Arial" w:hAnsi="Arial"/>
                <w:sz w:val="18"/>
                <w:szCs w:val="18"/>
                <w:color w:val="auto"/>
                <w:w w:val="98"/>
              </w:rPr>
              <w:t>Certification of Chief Executive Officer pursuant to Rule 13a-14(a)/15d-14(a), as adopted pursuant to Section 302 of the</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Sarbanes-Oxley Act of 2002.</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tcPr>
          <w:p>
            <w:pPr>
              <w:ind w:left="520"/>
              <w:spacing w:after="0"/>
              <w:rPr>
                <w:sz w:val="20"/>
                <w:szCs w:val="20"/>
                <w:color w:val="auto"/>
              </w:rPr>
            </w:pPr>
            <w:r>
              <w:rPr>
                <w:rFonts w:ascii="Arial" w:cs="Arial" w:eastAsia="Arial" w:hAnsi="Arial"/>
                <w:sz w:val="18"/>
                <w:szCs w:val="18"/>
                <w:color w:val="auto"/>
                <w:w w:val="98"/>
              </w:rPr>
              <w:t>Certification of Chief Financial Officer pursuant to Rule 13a-14(a)/15d-14(a), as adopted pursuant to Section 302 of the</w:t>
            </w:r>
          </w:p>
        </w:tc>
      </w:tr>
      <w:tr>
        <w:trPr>
          <w:trHeight w:val="230"/>
        </w:trPr>
        <w:tc>
          <w:tcPr>
            <w:tcW w:w="740" w:type="dxa"/>
            <w:vAlign w:val="bottom"/>
          </w:tcPr>
          <w:p>
            <w:pPr>
              <w:spacing w:after="0"/>
              <w:rPr>
                <w:sz w:val="20"/>
                <w:szCs w:val="20"/>
                <w:color w:val="auto"/>
              </w:rPr>
            </w:pPr>
          </w:p>
        </w:tc>
        <w:tc>
          <w:tcPr>
            <w:tcW w:w="9860" w:type="dxa"/>
            <w:vAlign w:val="bottom"/>
          </w:tcPr>
          <w:p>
            <w:pPr>
              <w:ind w:left="520"/>
              <w:spacing w:after="0"/>
              <w:rPr>
                <w:sz w:val="20"/>
                <w:szCs w:val="20"/>
                <w:color w:val="auto"/>
              </w:rPr>
            </w:pPr>
            <w:r>
              <w:rPr>
                <w:rFonts w:ascii="Arial" w:cs="Arial" w:eastAsia="Arial" w:hAnsi="Arial"/>
                <w:sz w:val="18"/>
                <w:szCs w:val="18"/>
                <w:color w:val="auto"/>
              </w:rPr>
              <w:t>Sarbanes-Oxley Act of 2002.</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Pr>
          <w:p>
            <w:pPr>
              <w:ind w:left="52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w:t>
            </w:r>
          </w:p>
        </w:tc>
      </w:tr>
    </w:tbl>
    <w:p>
      <w:pPr>
        <w:spacing w:after="0" w:line="202" w:lineRule="exact"/>
        <w:rPr>
          <w:sz w:val="20"/>
          <w:szCs w:val="20"/>
          <w:color w:val="auto"/>
        </w:rPr>
      </w:pPr>
    </w:p>
    <w:p>
      <w:pPr>
        <w:ind w:left="1300" w:hanging="1247"/>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260" w:right="20" w:hanging="1259"/>
        <w:spacing w:after="0" w:line="257" w:lineRule="auto"/>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September 30, 2016,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1260" w:right="20" w:hanging="437"/>
        <w:spacing w:after="0" w:line="259"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1260" w:hanging="527"/>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rFonts w:ascii="Arial" w:cs="Arial" w:eastAsia="Arial" w:hAnsi="Arial"/>
          <w:sz w:val="18"/>
          <w:szCs w:val="18"/>
          <w:color w:val="auto"/>
        </w:rPr>
      </w:pPr>
    </w:p>
    <w:p>
      <w:pPr>
        <w:ind w:left="1260" w:hanging="617"/>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600"/>
          </w:cols>
          <w:pgMar w:left="240" w:top="580" w:right="1059" w:bottom="1440" w:gutter="0" w:footer="0" w:header="0"/>
        </w:sectPr>
      </w:pPr>
    </w:p>
    <w:bookmarkStart w:id="51" w:name="page52"/>
    <w:bookmarkEnd w:id="51"/>
    <w:p>
      <w:pPr>
        <w:ind w:left="1044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AMENDED AND RESTATED CHANGE IN CONTROL SEVERANCE AGREEMENT</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THIS AMENDED AND RESTATED CHANGE IN CONTROL SEVERANCE AGREEMENT </w:t>
      </w:r>
      <w:r>
        <w:rPr>
          <w:rFonts w:ascii="Arial" w:cs="Arial" w:eastAsia="Arial" w:hAnsi="Arial"/>
          <w:sz w:val="18"/>
          <w:szCs w:val="18"/>
          <w:color w:val="auto"/>
        </w:rPr>
        <w:t>(this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is made and entered into this 6th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of September 2016 (the “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by and between Celsion Corporation,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and </w:t>
      </w:r>
      <w:r>
        <w:rPr>
          <w:rFonts w:ascii="Arial" w:cs="Arial" w:eastAsia="Arial" w:hAnsi="Arial"/>
          <w:sz w:val="18"/>
          <w:szCs w:val="18"/>
          <w:b w:val="1"/>
          <w:bCs w:val="1"/>
          <w:color w:val="auto"/>
        </w:rPr>
        <w:t>Michael 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Tardugno </w:t>
      </w:r>
      <w:r>
        <w:rPr>
          <w:rFonts w:ascii="Arial" w:cs="Arial" w:eastAsia="Arial" w:hAnsi="Arial"/>
          <w:sz w:val="18"/>
          <w:szCs w:val="18"/>
          <w:color w:val="auto"/>
        </w:rPr>
        <w:t>(the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are parties to that certain dated as of November 29, 2011 (the “Existing Agreement”);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Existing Agreement in its entirety as set forth in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ENTER THIS AGREEMENT </w:t>
      </w:r>
      <w:r>
        <w:rPr>
          <w:rFonts w:ascii="Arial" w:cs="Arial" w:eastAsia="Arial" w:hAnsi="Arial"/>
          <w:sz w:val="18"/>
          <w:szCs w:val="18"/>
          <w:color w:val="auto"/>
        </w:rPr>
        <w:t>on the basis of the following facts, understandings and intentions:</w:t>
      </w:r>
    </w:p>
    <w:p>
      <w:pPr>
        <w:spacing w:after="0" w:line="229" w:lineRule="exact"/>
        <w:rPr>
          <w:sz w:val="20"/>
          <w:szCs w:val="20"/>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Executive is a key executive of the Company.</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13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Should the possibility of a Change in Control arise, the Board of Directors of the Company (the “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 believes it is imperative that the Company and the Board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71" w:lineRule="exact"/>
        <w:rPr>
          <w:rFonts w:ascii="Arial" w:cs="Arial" w:eastAsia="Arial" w:hAnsi="Arial"/>
          <w:sz w:val="17"/>
          <w:szCs w:val="17"/>
          <w:color w:val="auto"/>
        </w:rPr>
      </w:pPr>
    </w:p>
    <w:p>
      <w:pPr>
        <w:ind w:left="660" w:right="280" w:hanging="4"/>
        <w:spacing w:after="0" w:line="264" w:lineRule="auto"/>
        <w:tabs>
          <w:tab w:leader="none" w:pos="13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(the “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 has approved the Company entering into a change in control severance agreement with the Executive to help mitigate the uncertainties and risks to the Executive should the possibility of a Change in Control arise.</w:t>
      </w:r>
    </w:p>
    <w:p>
      <w:pPr>
        <w:spacing w:after="0" w:line="181" w:lineRule="exact"/>
        <w:rPr>
          <w:rFonts w:ascii="Arial" w:cs="Arial" w:eastAsia="Arial" w:hAnsi="Arial"/>
          <w:sz w:val="18"/>
          <w:szCs w:val="18"/>
          <w:color w:val="auto"/>
        </w:rPr>
      </w:pPr>
    </w:p>
    <w:p>
      <w:pPr>
        <w:ind w:left="660" w:right="40" w:hanging="4"/>
        <w:spacing w:after="0" w:line="264" w:lineRule="auto"/>
        <w:tabs>
          <w:tab w:leader="none" w:pos="13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Agreement provides the benefits the Executive will be entitled to receive upon certain terminations of employment in connection with a Change in Control from and after the Effective Date and supersedes and negates all previous agreements with respect to such benefits except as expressly provided herein.</w:t>
      </w:r>
    </w:p>
    <w:p>
      <w:pPr>
        <w:spacing w:after="0" w:line="17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AGREEMENT</w:t>
      </w:r>
    </w:p>
    <w:p>
      <w:pPr>
        <w:spacing w:after="0" w:line="27" w:lineRule="exact"/>
        <w:rPr>
          <w:sz w:val="20"/>
          <w:szCs w:val="20"/>
          <w:color w:val="auto"/>
        </w:rPr>
      </w:pPr>
    </w:p>
    <w:p>
      <w:pPr>
        <w:ind w:right="200" w:firstLine="45"/>
        <w:spacing w:after="0" w:line="29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 in consideration of the above recitals incorporated herein and the mutual covenants and promises contained herein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expressly acknowledged, the parties agree as follows:</w:t>
      </w:r>
    </w:p>
    <w:p>
      <w:pPr>
        <w:spacing w:after="0" w:line="158"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260" w:hanging="566"/>
        <w:spacing w:after="0" w:line="291" w:lineRule="auto"/>
        <w:tabs>
          <w:tab w:leader="none" w:pos="12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 xml:space="preserve">Termination Outside of Change in Control Context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at any time prior to the date of a Change in Control or any time after the date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that is two (2) years after a Change in Control, the Executive’s employment with the Company is terminated for any reason by the Company or by the Executive (in any case, the date that the Executive’s employment with the Company terminates is referred to as the “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 the Executive shall not be entitled to any payments or benefits under this Agreement. The Executive’s rights (if any) to receive any payments or benefits in connection with such termination shall be determined under any employment agreement, offer letter or similar agreement between the Executive and the Company then in effect (an “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 or any other Company agreement, plan or policy then in effect under which the Executive would be entitled to severance benefits in connection with such a termination of employment (any such agreement (including an Employment Agreement), plan or policy, a “ </w:t>
      </w:r>
      <w:r>
        <w:rPr>
          <w:rFonts w:ascii="Arial" w:cs="Arial" w:eastAsia="Arial" w:hAnsi="Arial"/>
          <w:sz w:val="16"/>
          <w:szCs w:val="16"/>
          <w:u w:val="single" w:color="auto"/>
          <w:color w:val="auto"/>
        </w:rPr>
        <w:t>Severance Arrangement</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48" w:right="279" w:bottom="1440" w:gutter="0" w:footer="0" w:header="0"/>
        </w:sectPr>
      </w:pPr>
    </w:p>
    <w:bookmarkStart w:id="52" w:name="page53"/>
    <w:bookmarkEnd w:id="52"/>
    <w:p>
      <w:pPr>
        <w:ind w:left="60" w:right="60" w:hanging="566"/>
        <w:spacing w:after="0" w:line="281" w:lineRule="auto"/>
        <w:tabs>
          <w:tab w:leader="none" w:pos="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 xml:space="preserve">Termination in Connection with a Change in Control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at any time during the period commencing on the date of a Change in Control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and ending two (2) years after the Change in Control, the Executive’s employment with the Company is terminated for any reason by the Company or by the Executive, the Company shall have no further obligation to make or provide to the Executive, and the Executive shall have no further right to receive or obtain from the Company, any payments or benefits except as follows:</w:t>
      </w:r>
    </w:p>
    <w:p>
      <w:pPr>
        <w:spacing w:after="0" w:line="169" w:lineRule="exact"/>
        <w:rPr>
          <w:sz w:val="20"/>
          <w:szCs w:val="20"/>
          <w:color w:val="auto"/>
        </w:rPr>
      </w:pPr>
    </w:p>
    <w:p>
      <w:pPr>
        <w:ind w:left="800" w:hanging="695"/>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pay the Executive (or, in the event of his death, the Executive’s estate) any Accrued Obligations;</w:t>
      </w:r>
    </w:p>
    <w:p>
      <w:pPr>
        <w:spacing w:after="0" w:line="225" w:lineRule="exact"/>
        <w:rPr>
          <w:rFonts w:ascii="Arial" w:cs="Arial" w:eastAsia="Arial" w:hAnsi="Arial"/>
          <w:sz w:val="18"/>
          <w:szCs w:val="18"/>
          <w:color w:val="auto"/>
        </w:rPr>
      </w:pPr>
    </w:p>
    <w:p>
      <w:pPr>
        <w:jc w:val="both"/>
        <w:ind w:left="100" w:right="320" w:firstLine="5"/>
        <w:spacing w:after="0" w:line="264" w:lineRule="auto"/>
        <w:tabs>
          <w:tab w:leader="none" w:pos="8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such a termination of the Executive’s employment with the Company constitutes an Involuntary Termination, the Executive shall be entitled to the following benefits (in addition to the Accrued Obligations and any payments or benefits payable to the Executive pursuant to any Severance Arrangement):</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shall pay the Executive, subject to tax withholding and other authorized deductions, an amount equal to</w:t>
      </w:r>
    </w:p>
    <w:p>
      <w:pPr>
        <w:spacing w:after="0" w:line="46" w:lineRule="exact"/>
        <w:rPr>
          <w:rFonts w:ascii="Arial" w:cs="Arial" w:eastAsia="Arial" w:hAnsi="Arial"/>
          <w:sz w:val="16"/>
          <w:szCs w:val="16"/>
          <w:color w:val="auto"/>
        </w:rPr>
      </w:pPr>
    </w:p>
    <w:p>
      <w:pPr>
        <w:ind w:left="760" w:right="20" w:hanging="7"/>
        <w:spacing w:after="0" w:line="253" w:lineRule="auto"/>
        <w:tabs>
          <w:tab w:leader="none" w:pos="10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two (2), times (y) the sum of (1) the Executive’s base salary at the annualized rate in effect on the Severance Date plus (2) the Executive’s target annual bonus for the Company’s fiscal year in which the Severance Date occurs. Such amount is referred to hereinafter as the “</w:t>
      </w:r>
      <w:r>
        <w:rPr>
          <w:rFonts w:ascii="Arial" w:cs="Arial" w:eastAsia="Arial" w:hAnsi="Arial"/>
          <w:sz w:val="18"/>
          <w:szCs w:val="18"/>
          <w:u w:val="single" w:color="auto"/>
          <w:color w:val="auto"/>
        </w:rPr>
        <w:t>Severance Benefit”</w:t>
      </w:r>
      <w:r>
        <w:rPr>
          <w:rFonts w:ascii="Arial" w:cs="Arial" w:eastAsia="Arial" w:hAnsi="Arial"/>
          <w:sz w:val="18"/>
          <w:szCs w:val="18"/>
          <w:color w:val="auto"/>
        </w:rPr>
        <w:t>. Subject to Section 17(b), the Company shall pay the Severance Benefit to the Executive in a lump sum in the month following the month in which the Executive’s Separation from Service (as such term is defined in Section 2) occurs.</w:t>
      </w:r>
    </w:p>
    <w:p>
      <w:pPr>
        <w:spacing w:after="0" w:line="191" w:lineRule="exact"/>
        <w:rPr>
          <w:rFonts w:ascii="Arial" w:cs="Arial" w:eastAsia="Arial" w:hAnsi="Arial"/>
          <w:sz w:val="18"/>
          <w:szCs w:val="18"/>
          <w:color w:val="auto"/>
        </w:rPr>
      </w:pPr>
    </w:p>
    <w:p>
      <w:pPr>
        <w:ind w:left="760" w:hanging="7"/>
        <w:spacing w:after="0" w:line="287" w:lineRule="auto"/>
        <w:tabs>
          <w:tab w:leader="none" w:pos="1472"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Company will pay or reimburse the Executive for his premiums charged to continue medical coverage pursuant to the Consolidated Omnibus Budget Reconciliation Act (“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 at the same or reasonably equivalent medical coverage for the Executive (and, if applicable, the Executive’s eligible dependents) as in effect immediately prior to the Severance Date, to the extent that the Executive elects such continued coverage; provided that the Company’s obligation to make any payment or reimbursement pursuant to this clause (ii) shall, subject to Section 17(b), commence with continuation coverage for the month following the month in which the Executive’s Separation from Service occurs and shall cease with continuation coverage for the twenty fourth (24 th ) month following the month in which the Executive’s Separation from Service occurs (or, if earlier, shall cease upon the first to occur of the Executive’s death, the date the Executive becomes eligible for coverage under the health plan of a future employer, or the date the Company ceases to offer group medical coverage to its active executive employees or the Company is otherwise under no obligation to offer COBRA continuation coverage to the Executive). To the extent the Executive elects COBRA coverage, he shall notify the Company in writing of such election prior to such coverage taking effect and complete any other continuation coverage enrollment procedures the Company may then have in place.</w:t>
      </w:r>
    </w:p>
    <w:p>
      <w:pPr>
        <w:spacing w:after="0" w:line="168" w:lineRule="exact"/>
        <w:rPr>
          <w:rFonts w:ascii="Arial" w:cs="Arial" w:eastAsia="Arial" w:hAnsi="Arial"/>
          <w:sz w:val="16"/>
          <w:szCs w:val="16"/>
          <w:color w:val="auto"/>
        </w:rPr>
      </w:pPr>
    </w:p>
    <w:p>
      <w:pPr>
        <w:ind w:left="760" w:right="140" w:firstLine="33"/>
        <w:spacing w:after="0" w:line="259" w:lineRule="auto"/>
        <w:tabs>
          <w:tab w:leader="none" w:pos="1517"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Company will pay or reimburse the Executive for his premiums charged to continue term life insurance coverage provided by the Company for the Executive (and, if applicable, the Executive’s eligible dependents), on the terms and at the coverage levels in effect on the Severance Date, for a period of twenty fourth (24) months commencing with the month following the month in which the Executive’s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485775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3" w:name="page54"/>
    <w:bookmarkEnd w:id="53"/>
    <w:p>
      <w:pPr>
        <w:ind w:left="1260" w:hanging="7"/>
        <w:spacing w:after="0" w:line="285" w:lineRule="auto"/>
        <w:tabs>
          <w:tab w:leader="none" w:pos="197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Each option and other equity-based award granted by the Company to the Executive, to the extent outstanding and unvested on the Severance Date, shall accelerate and be fully vested as of the Severance Date; provided, however, that, as to any such equity award that is subject to performance-based vesting requirements, the vesting of such award will continue to be governed by its terms, except that any service-based vesting requirement applicable to such award will be deemed to be fully satisfied as of the Severance Date. Each such award that is an option or similar award, to the extent outstanding and vested on the Severance Date (after giving effect to the foregoing acceleration provision), shall be exercisable after the Severance Date as follows: (x) to the extent such option or award was outstanding and vested on the date of the Change in Control, such option or award shall remain exercisable for the remainder of the original maximum term of such option or award, and (y) to the extent such option or award was unvested on the date of the Change in Control and vested at any time after the Change in Control and on or before the Severance Date (including any such option or award that vested pursuant to the foregoing acceleration provision), such option or award shall remain exercisable until the first to occur of (A) the last day of the original maximum term of such option or award, or (B) the date that is twenty fourth (24) months after the last day such option or award would have been exercisable in accordance with its terms following such a termination of the Executive’s employment. Notwithstanding the preceding sentence, any such option or award shall be subject to earlier termination in connection with a change in control of the Company and similar events as provided in the applicable plan and/or award agreement (provided that the Executive is given a reasonable opportunity to exercise such vested option or award prior to its termination.)</w:t>
      </w:r>
    </w:p>
    <w:p>
      <w:pPr>
        <w:spacing w:after="0" w:line="177" w:lineRule="exact"/>
        <w:rPr>
          <w:rFonts w:ascii="Arial" w:cs="Arial" w:eastAsia="Arial" w:hAnsi="Arial"/>
          <w:sz w:val="16"/>
          <w:szCs w:val="16"/>
          <w:color w:val="auto"/>
        </w:rPr>
      </w:pPr>
    </w:p>
    <w:p>
      <w:pPr>
        <w:ind w:left="600" w:firstLine="5"/>
        <w:spacing w:after="0" w:line="257" w:lineRule="auto"/>
        <w:tabs>
          <w:tab w:leader="none" w:pos="129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foregoing provisions of this Section 1.2 shall not affect: (i) the Executive’s receipt of benefits otherwise due terminated employees under group insurance coverage consistent with the terms of the applicable Company welfare benefit plan; (ii) the Executive’s rights under COBRA to continue participation in medical, dental, hospitalization and life insurance coverage; or (iii) the Executive’s receipt of benefits otherwise due in accordance with the terms of the Company’s 401(k) plan (if any) and any vested Company equity or incentive awards in accordance with the terms and conditions of such awards.</w:t>
      </w:r>
    </w:p>
    <w:p>
      <w:pPr>
        <w:spacing w:after="0" w:line="188" w:lineRule="exact"/>
        <w:rPr>
          <w:rFonts w:ascii="Arial" w:cs="Arial" w:eastAsia="Arial" w:hAnsi="Arial"/>
          <w:sz w:val="18"/>
          <w:szCs w:val="18"/>
          <w:color w:val="auto"/>
        </w:rPr>
      </w:pPr>
    </w:p>
    <w:p>
      <w:pPr>
        <w:ind w:left="600" w:right="80" w:firstLine="5"/>
        <w:spacing w:after="0" w:line="264" w:lineRule="auto"/>
        <w:tabs>
          <w:tab w:leader="none" w:pos="13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For avoidance of doubt, if the Executive is entitled to receive severance benefits in connection with a termination of employment under both this Agreement and any Severance Arrangement, the Executive shall be entitled to receive both the benefits provided in this Agreement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benefits provided in such Severance Arrangement.</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 xml:space="preserve">Release; No Duty to Mitigate </w:t>
      </w:r>
      <w:r>
        <w:rPr>
          <w:rFonts w:ascii="Arial" w:cs="Arial" w:eastAsia="Arial" w:hAnsi="Arial"/>
          <w:sz w:val="16"/>
          <w:szCs w:val="16"/>
          <w:b w:val="1"/>
          <w:bCs w:val="1"/>
          <w:color w:val="auto"/>
        </w:rPr>
        <w:t>.</w:t>
      </w:r>
    </w:p>
    <w:p>
      <w:pPr>
        <w:spacing w:after="0" w:line="229" w:lineRule="exact"/>
        <w:rPr>
          <w:sz w:val="20"/>
          <w:szCs w:val="20"/>
          <w:color w:val="auto"/>
        </w:rPr>
      </w:pPr>
    </w:p>
    <w:p>
      <w:pPr>
        <w:ind w:left="600" w:firstLine="5"/>
        <w:spacing w:after="0" w:line="255" w:lineRule="auto"/>
        <w:tabs>
          <w:tab w:leader="none" w:pos="12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This Section 1.3 shall apply notwithstanding anything else contained in this Agreement to the contrary. As a condition precedent to any Company obligation to the Executive pursuant to Section 1.2(b), the Executive shall, upon or promptly following his last day of employment with the Company (and in all events within twenty-one (21) days after his last day of employment with the Company), provide the Company with a valid, executed Release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as the Company may determine to be required or reasonably advisable in order to make the release enforceable and otherwise compliant with applicable laws), and such Release Agreement shall have not been revoked by the Executive pursuant to any revocation rights afforded by applicable law.</w:t>
      </w:r>
    </w:p>
    <w:p>
      <w:pPr>
        <w:spacing w:after="0" w:line="189" w:lineRule="exact"/>
        <w:rPr>
          <w:rFonts w:ascii="Arial" w:cs="Arial" w:eastAsia="Arial" w:hAnsi="Arial"/>
          <w:sz w:val="18"/>
          <w:szCs w:val="18"/>
          <w:color w:val="auto"/>
        </w:rPr>
      </w:pPr>
    </w:p>
    <w:p>
      <w:pPr>
        <w:ind w:left="600" w:right="40" w:firstLine="5"/>
        <w:spacing w:after="0" w:line="273" w:lineRule="auto"/>
        <w:tabs>
          <w:tab w:leader="none" w:pos="13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and the Executive acknowledge and agree that there is no duty of the Executive to mitigate damages under this Agreement. All amounts paid to the Executive pursuant to Section 1.2 shall be paid without regard to whether the Executive has taken or takes actions to mitigate damages. The Executive agrees to resign, on the Severance Date, from the Company and any affiliate of the Company, as an officer and director of the Company, and as a fiduciary of any benefit plan of the Company or any affiliate of the Company (in each case, to the extent the Executive then has any such position), and to promptly execute and provide to the Company any further documentation, as requested by the Company, to confirm such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480695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80"/>
          </w:cols>
          <w:pgMar w:left="940" w:top="800" w:right="279" w:bottom="1440" w:gutter="0" w:footer="0" w:header="0"/>
        </w:sectPr>
      </w:pPr>
    </w:p>
    <w:bookmarkStart w:id="54" w:name="page55"/>
    <w:bookmarkEnd w:id="54"/>
    <w:p>
      <w:pPr>
        <w:ind w:left="572" w:hanging="572"/>
        <w:spacing w:after="0"/>
        <w:tabs>
          <w:tab w:leader="none" w:pos="57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 As used herein, the following terms shall have the meanings set forth below in this Section 2.</w:t>
      </w:r>
    </w:p>
    <w:p>
      <w:pPr>
        <w:spacing w:after="0" w:line="229" w:lineRule="exact"/>
        <w:rPr>
          <w:rFonts w:ascii="Arial" w:cs="Arial" w:eastAsia="Arial" w:hAnsi="Arial"/>
          <w:sz w:val="18"/>
          <w:szCs w:val="18"/>
          <w:b w:val="1"/>
          <w:bCs w:val="1"/>
          <w:color w:val="auto"/>
        </w:rPr>
      </w:pPr>
    </w:p>
    <w:p>
      <w:pPr>
        <w:ind w:left="652" w:right="60" w:hanging="4"/>
        <w:spacing w:after="0" w:line="276" w:lineRule="auto"/>
        <w:tabs>
          <w:tab w:leader="none" w:pos="1347"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means (i) any base salary of the Executive that had accrued but had not been paid (including accrued and unpaid vacation time) on or before the Severance Date; (ii) any annual bonus payable to the Executive (to the extent not previously paid) with respect to the fiscal year of the Company prior to the fiscal year in which the Severance Date occurs; and (iii) any reimbursement due to the Executive for expenses reasonably incurred by the Executive on or before the Severance Date and documented and pre-approved, to the extent applicable, in accordance with the Company’s expense reimbursement policies in effect at the applicable time.</w:t>
      </w:r>
    </w:p>
    <w:p>
      <w:pPr>
        <w:spacing w:after="0" w:line="172" w:lineRule="exact"/>
        <w:rPr>
          <w:rFonts w:ascii="Arial" w:cs="Arial" w:eastAsia="Arial" w:hAnsi="Arial"/>
          <w:sz w:val="17"/>
          <w:szCs w:val="17"/>
          <w:color w:val="auto"/>
        </w:rPr>
      </w:pPr>
    </w:p>
    <w:p>
      <w:pPr>
        <w:jc w:val="both"/>
        <w:ind w:left="652" w:right="40" w:hanging="4"/>
        <w:spacing w:after="0" w:line="259" w:lineRule="auto"/>
        <w:tabs>
          <w:tab w:leader="none" w:pos="1357"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“Cause” shall mean, as reasonably determined by the Board (excluding the Executive, if he is then a member of the Board) based on the information then known to it, that one or more of the following has occurred:</w:t>
      </w:r>
    </w:p>
    <w:p>
      <w:pPr>
        <w:spacing w:after="0" w:line="186" w:lineRule="exact"/>
        <w:rPr>
          <w:rFonts w:ascii="Arial" w:cs="Arial" w:eastAsia="Arial" w:hAnsi="Arial"/>
          <w:sz w:val="18"/>
          <w:szCs w:val="18"/>
          <w:color w:val="auto"/>
        </w:rPr>
      </w:pPr>
    </w:p>
    <w:p>
      <w:pPr>
        <w:ind w:left="1292" w:right="160" w:firstLine="5"/>
        <w:spacing w:after="0" w:line="277" w:lineRule="auto"/>
        <w:tabs>
          <w:tab w:leader="none" w:pos="1957"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Executive is convicted of, pled guilty or pled nolo contendere to a felony (under the laws of the United States or any relevant state, or a similar crime or offense under the applicable laws of any relevant foreign jurisdiction);</w:t>
      </w:r>
    </w:p>
    <w:p>
      <w:pPr>
        <w:spacing w:after="0" w:line="170" w:lineRule="exact"/>
        <w:rPr>
          <w:rFonts w:ascii="Arial" w:cs="Arial" w:eastAsia="Arial" w:hAnsi="Arial"/>
          <w:sz w:val="18"/>
          <w:szCs w:val="18"/>
          <w:color w:val="auto"/>
        </w:rPr>
      </w:pPr>
    </w:p>
    <w:p>
      <w:pPr>
        <w:ind w:left="1292" w:right="300" w:firstLine="5"/>
        <w:spacing w:after="0" w:line="277" w:lineRule="auto"/>
        <w:tabs>
          <w:tab w:leader="none" w:pos="2007"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Executive has engaged in acts of fraud, dishonesty or other acts of willful misconduct in the course of his duties hereunder that are materially and demonstrably injurious to the Company or any of its Subsidiaries;</w:t>
      </w:r>
    </w:p>
    <w:p>
      <w:pPr>
        <w:spacing w:after="0" w:line="170" w:lineRule="exact"/>
        <w:rPr>
          <w:rFonts w:ascii="Arial" w:cs="Arial" w:eastAsia="Arial" w:hAnsi="Arial"/>
          <w:sz w:val="18"/>
          <w:szCs w:val="18"/>
          <w:color w:val="auto"/>
        </w:rPr>
      </w:pPr>
    </w:p>
    <w:p>
      <w:pPr>
        <w:ind w:left="1292" w:firstLine="5"/>
        <w:spacing w:after="0" w:line="264" w:lineRule="auto"/>
        <w:tabs>
          <w:tab w:leader="none" w:pos="201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Executive willfully fails to perform or uphold his duties to the Company or any of its Subsidiaries and/or willfully fails to comply with reasonable directives of the Board and/or engages in manifestly unethical behavior that is materially injurious to the Company; or</w:t>
      </w:r>
    </w:p>
    <w:p>
      <w:pPr>
        <w:spacing w:after="0" w:line="181" w:lineRule="exact"/>
        <w:rPr>
          <w:rFonts w:ascii="Arial" w:cs="Arial" w:eastAsia="Arial" w:hAnsi="Arial"/>
          <w:sz w:val="18"/>
          <w:szCs w:val="18"/>
          <w:color w:val="auto"/>
        </w:rPr>
      </w:pPr>
    </w:p>
    <w:p>
      <w:pPr>
        <w:ind w:left="1292" w:right="200" w:firstLine="5"/>
        <w:spacing w:after="0" w:line="277" w:lineRule="auto"/>
        <w:tabs>
          <w:tab w:leader="none" w:pos="2002" w:val="left"/>
        </w:tabs>
        <w:numPr>
          <w:ilvl w:val="2"/>
          <w:numId w:val="38"/>
        </w:numPr>
        <w:rPr>
          <w:rFonts w:ascii="Arial" w:cs="Arial" w:eastAsia="Arial" w:hAnsi="Arial"/>
          <w:sz w:val="18"/>
          <w:szCs w:val="18"/>
          <w:color w:val="auto"/>
        </w:rPr>
      </w:pPr>
      <w:r>
        <w:rPr>
          <w:rFonts w:ascii="Arial" w:cs="Arial" w:eastAsia="Arial" w:hAnsi="Arial"/>
          <w:sz w:val="18"/>
          <w:szCs w:val="18"/>
          <w:color w:val="auto"/>
        </w:rPr>
        <w:t>a material breach by the Executive of this Agreement, the Confidentiality Agreement, or any other contract he is a party to with the Company or any of its Subsidiaries;</w:t>
      </w:r>
    </w:p>
    <w:p>
      <w:pPr>
        <w:spacing w:after="0" w:line="170" w:lineRule="exact"/>
        <w:rPr>
          <w:sz w:val="20"/>
          <w:szCs w:val="20"/>
          <w:color w:val="auto"/>
        </w:rPr>
      </w:pPr>
    </w:p>
    <w:p>
      <w:pPr>
        <w:ind w:left="652" w:right="80"/>
        <w:spacing w:after="0" w:line="302" w:lineRule="auto"/>
        <w:rPr>
          <w:sz w:val="20"/>
          <w:szCs w:val="20"/>
          <w:color w:val="auto"/>
        </w:rPr>
      </w:pPr>
      <w:r>
        <w:rPr>
          <w:rFonts w:ascii="Arial" w:cs="Arial" w:eastAsia="Arial" w:hAnsi="Arial"/>
          <w:sz w:val="16"/>
          <w:szCs w:val="16"/>
          <w:color w:val="auto"/>
        </w:rPr>
        <w:t>provided, however, that the Executive shall be provided with notice of any conduct claimed to constitute Cause and a reasonable opportunity of not less than thirty (30) days to cure such conduct (to the extent such conduct is reasonably capable of cure in the circumstances); and provided, further, that for purposes of this definition,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154" w:lineRule="exact"/>
        <w:rPr>
          <w:sz w:val="20"/>
          <w:szCs w:val="20"/>
          <w:color w:val="auto"/>
        </w:rPr>
      </w:pPr>
    </w:p>
    <w:p>
      <w:pPr>
        <w:ind w:left="1352" w:hanging="704"/>
        <w:spacing w:after="0"/>
        <w:tabs>
          <w:tab w:leader="none" w:pos="13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means the occurrence of any of the following events:</w:t>
      </w:r>
    </w:p>
    <w:p>
      <w:pPr>
        <w:spacing w:after="0" w:line="225" w:lineRule="exact"/>
        <w:rPr>
          <w:rFonts w:ascii="Arial" w:cs="Arial" w:eastAsia="Arial" w:hAnsi="Arial"/>
          <w:sz w:val="18"/>
          <w:szCs w:val="18"/>
          <w:color w:val="auto"/>
        </w:rPr>
      </w:pPr>
    </w:p>
    <w:p>
      <w:pPr>
        <w:ind w:left="1292" w:right="120" w:firstLine="5"/>
        <w:spacing w:after="0" w:line="257" w:lineRule="auto"/>
        <w:tabs>
          <w:tab w:leader="none" w:pos="19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Any Person (as such term is used in Sections 13(d) and 14(d) of the Exchange Act), other than the Company, its Subsidiaries or any Company employee benefit plan (including any trustee of such plan acting as trustee), is or becomes the Beneficial Owner (as such term is defined for purposes of Rule 13d-3 under the Exchange Act), directly or indirectly, of securities of the Company representing more than thirty percent (30%) of the combined voting power of the then outstanding securities entitled to vote generally in the election of directors (“ </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of the Company; or</w:t>
      </w:r>
    </w:p>
    <w:p>
      <w:pPr>
        <w:spacing w:after="0" w:line="188" w:lineRule="exact"/>
        <w:rPr>
          <w:rFonts w:ascii="Arial" w:cs="Arial" w:eastAsia="Arial" w:hAnsi="Arial"/>
          <w:sz w:val="18"/>
          <w:szCs w:val="18"/>
          <w:color w:val="auto"/>
        </w:rPr>
      </w:pPr>
    </w:p>
    <w:p>
      <w:pPr>
        <w:ind w:left="1292" w:right="40" w:firstLine="5"/>
        <w:spacing w:after="0" w:line="257" w:lineRule="auto"/>
        <w:tabs>
          <w:tab w:leader="none" w:pos="2007"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Individuals who constitute the Board of the Company (the “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55" w:name="page56"/>
    <w:bookmarkEnd w:id="55"/>
    <w:p>
      <w:pPr>
        <w:ind w:left="644" w:right="80" w:firstLine="5"/>
        <w:spacing w:after="0" w:line="255" w:lineRule="auto"/>
        <w:tabs>
          <w:tab w:leader="none" w:pos="14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Consummation by the Company of a recapitalization, reorganization, merger, consolidation or other similar transaction (a “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 with respect to which all or substantially all of the individuals and entities who were the beneficial owners of the Voting Securities immediately prior such Business Combination (the “ </w:t>
      </w:r>
      <w:r>
        <w:rPr>
          <w:rFonts w:ascii="Arial" w:cs="Arial" w:eastAsia="Arial" w:hAnsi="Arial"/>
          <w:sz w:val="18"/>
          <w:szCs w:val="18"/>
          <w:u w:val="single" w:color="auto"/>
          <w:color w:val="auto"/>
        </w:rPr>
        <w:t>Incumbent Shareholders</w:t>
      </w:r>
      <w:r>
        <w:rPr>
          <w:rFonts w:ascii="Arial" w:cs="Arial" w:eastAsia="Arial" w:hAnsi="Arial"/>
          <w:sz w:val="18"/>
          <w:szCs w:val="18"/>
          <w:color w:val="auto"/>
        </w:rPr>
        <w:t xml:space="preserve"> ”)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 in substantially the same proportion as their ownership of such Voting Securities immediately prior to such Business Combination; or</w:t>
      </w:r>
    </w:p>
    <w:p>
      <w:pPr>
        <w:spacing w:after="0" w:line="189" w:lineRule="exact"/>
        <w:rPr>
          <w:rFonts w:ascii="Arial" w:cs="Arial" w:eastAsia="Arial" w:hAnsi="Arial"/>
          <w:sz w:val="18"/>
          <w:szCs w:val="18"/>
          <w:color w:val="auto"/>
        </w:rPr>
      </w:pPr>
    </w:p>
    <w:p>
      <w:pPr>
        <w:ind w:left="644" w:firstLine="5"/>
        <w:spacing w:after="0" w:line="257" w:lineRule="auto"/>
        <w:tabs>
          <w:tab w:leader="none" w:pos="13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8"/>
          <w:szCs w:val="18"/>
          <w:color w:val="auto"/>
        </w:rPr>
        <w:t xml:space="preserve">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 </w:t>
      </w: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w:t>
      </w:r>
    </w:p>
    <w:p>
      <w:pPr>
        <w:spacing w:after="0" w:line="181"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Only the first Change in Control that occurs after the Effective Date shall be considered a Change in Control for purposes of this Agreement; any transaction or occurrence after the first Change in Control that would otherwise constitute such a Change in Control shall not constitute a Change in Control for purposes of this Agreement.</w:t>
      </w:r>
    </w:p>
    <w:p>
      <w:pPr>
        <w:spacing w:after="0" w:line="181" w:lineRule="exact"/>
        <w:rPr>
          <w:sz w:val="20"/>
          <w:szCs w:val="20"/>
          <w:color w:val="auto"/>
        </w:rPr>
      </w:pPr>
    </w:p>
    <w:p>
      <w:pPr>
        <w:ind w:left="4" w:right="100" w:hanging="4"/>
        <w:spacing w:after="0" w:line="276" w:lineRule="auto"/>
        <w:tabs>
          <w:tab w:leader="none" w:pos="7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 has the meaning ascribed to such term (or similar term) in the Employment Agreement or, if there is no Employment Agreement then in effect or if such agreement does not include a definition of such term (or similar term), “Disability” means a physical or mental impairment which, as reasonably determined by the Board, renders the Executive unable to perform the essential functions of his employment with the Company, even with reasonable accommodation that does not impose an undue hardship on the Company, for more than 90 days in any 180-day period, unless a longer period is required by federal or state law, in which case that longer period would apply.</w:t>
      </w:r>
    </w:p>
    <w:p>
      <w:pPr>
        <w:spacing w:after="0" w:line="172" w:lineRule="exact"/>
        <w:rPr>
          <w:rFonts w:ascii="Arial" w:cs="Arial" w:eastAsia="Arial" w:hAnsi="Arial"/>
          <w:sz w:val="17"/>
          <w:szCs w:val="17"/>
          <w:color w:val="auto"/>
        </w:rPr>
      </w:pPr>
    </w:p>
    <w:p>
      <w:pPr>
        <w:ind w:left="704" w:hanging="704"/>
        <w:spacing w:after="0"/>
        <w:tabs>
          <w:tab w:leader="none" w:pos="7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w:t>
      </w:r>
    </w:p>
    <w:p>
      <w:pPr>
        <w:spacing w:after="0" w:line="225" w:lineRule="exact"/>
        <w:rPr>
          <w:rFonts w:ascii="Arial" w:cs="Arial" w:eastAsia="Arial" w:hAnsi="Arial"/>
          <w:sz w:val="18"/>
          <w:szCs w:val="18"/>
          <w:color w:val="auto"/>
        </w:rPr>
      </w:pPr>
    </w:p>
    <w:p>
      <w:pPr>
        <w:ind w:left="4" w:right="40" w:hanging="4"/>
        <w:spacing w:after="0" w:line="264" w:lineRule="auto"/>
        <w:tabs>
          <w:tab w:leader="none" w:pos="679"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“Good Reason” shall mean the occurrence of one or more of the following (without the Executive’s express written consent):</w:t>
      </w:r>
    </w:p>
    <w:p>
      <w:pPr>
        <w:spacing w:after="0" w:line="181" w:lineRule="exact"/>
        <w:rPr>
          <w:rFonts w:ascii="Arial" w:cs="Arial" w:eastAsia="Arial" w:hAnsi="Arial"/>
          <w:sz w:val="18"/>
          <w:szCs w:val="18"/>
          <w:color w:val="auto"/>
        </w:rPr>
      </w:pPr>
    </w:p>
    <w:p>
      <w:pPr>
        <w:ind w:left="644" w:right="160" w:firstLine="5"/>
        <w:spacing w:after="0" w:line="342" w:lineRule="auto"/>
        <w:tabs>
          <w:tab w:leader="none" w:pos="135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(provided, that a change in the Executive’s title or in the individual(s) to whom the Executive reports resulting from a Change in Control shall not in and of itself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445770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56" w:name="page57"/>
    <w:bookmarkEnd w:id="56"/>
    <w:p>
      <w:pPr>
        <w:ind w:left="1292" w:right="560" w:firstLine="5"/>
        <w:spacing w:after="0" w:line="277" w:lineRule="auto"/>
        <w:tabs>
          <w:tab w:leader="none" w:pos="20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material diminution by the Company of the Executive’s rate of base salary or annual target bonus opportunity as in effect immediately prior to such reduction;</w:t>
      </w:r>
    </w:p>
    <w:p>
      <w:pPr>
        <w:spacing w:after="0" w:line="170" w:lineRule="exact"/>
        <w:rPr>
          <w:rFonts w:ascii="Arial" w:cs="Arial" w:eastAsia="Arial" w:hAnsi="Arial"/>
          <w:sz w:val="18"/>
          <w:szCs w:val="18"/>
          <w:color w:val="auto"/>
        </w:rPr>
      </w:pPr>
    </w:p>
    <w:p>
      <w:pPr>
        <w:ind w:left="1292" w:right="20" w:firstLine="5"/>
        <w:spacing w:after="0" w:line="264" w:lineRule="auto"/>
        <w:tabs>
          <w:tab w:leader="none" w:pos="20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change in the location of the Executive’s principal workplace for the Company to a location that is more than fifty (50) miles from the Executive’s principal workplace as of the Effective Date and that results in an increased commute for the Executive from his or her principal residence (except for reasonable periods of required travel on Company business);</w:t>
      </w:r>
    </w:p>
    <w:p>
      <w:pPr>
        <w:spacing w:after="0" w:line="181" w:lineRule="exact"/>
        <w:rPr>
          <w:rFonts w:ascii="Arial" w:cs="Arial" w:eastAsia="Arial" w:hAnsi="Arial"/>
          <w:sz w:val="18"/>
          <w:szCs w:val="18"/>
          <w:color w:val="auto"/>
        </w:rPr>
      </w:pPr>
    </w:p>
    <w:p>
      <w:pPr>
        <w:ind w:left="1292" w:right="620" w:firstLine="5"/>
        <w:spacing w:after="0" w:line="277" w:lineRule="auto"/>
        <w:tabs>
          <w:tab w:leader="none" w:pos="200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failure of the Company to obtain the agreement from any successor to the Company to assume and agree to perform this Agreement as required by Section 5; or</w:t>
      </w:r>
    </w:p>
    <w:p>
      <w:pPr>
        <w:spacing w:after="0" w:line="170" w:lineRule="exact"/>
        <w:rPr>
          <w:rFonts w:ascii="Arial" w:cs="Arial" w:eastAsia="Arial" w:hAnsi="Arial"/>
          <w:sz w:val="18"/>
          <w:szCs w:val="18"/>
          <w:color w:val="auto"/>
        </w:rPr>
      </w:pPr>
    </w:p>
    <w:p>
      <w:pPr>
        <w:ind w:left="1992" w:hanging="695"/>
        <w:spacing w:after="0"/>
        <w:tabs>
          <w:tab w:leader="none" w:pos="19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material breach by the Company of this Agreement or any other agreement with the Executive;</w:t>
      </w:r>
    </w:p>
    <w:p>
      <w:pPr>
        <w:spacing w:after="0" w:line="225" w:lineRule="exact"/>
        <w:rPr>
          <w:sz w:val="20"/>
          <w:szCs w:val="20"/>
          <w:color w:val="auto"/>
        </w:rPr>
      </w:pPr>
    </w:p>
    <w:p>
      <w:pPr>
        <w:ind w:left="652" w:right="160"/>
        <w:spacing w:after="0" w:line="302" w:lineRule="auto"/>
        <w:rPr>
          <w:sz w:val="20"/>
          <w:szCs w:val="20"/>
          <w:color w:val="auto"/>
        </w:rPr>
      </w:pPr>
      <w:r>
        <w:rPr>
          <w:rFonts w:ascii="Arial" w:cs="Arial" w:eastAsia="Arial" w:hAnsi="Arial"/>
          <w:sz w:val="16"/>
          <w:szCs w:val="16"/>
          <w:color w:val="auto"/>
        </w:rPr>
        <w:t>provided, however, that any such condition shall not constitute “Good Reason” unless (x) the Executive provides written notice to the Company of the condition claimed to constitute Good Reason within ninety (90) days of the initial existence of such condition, (y) the Company fails to remedy such condition within thirty (30) days of receiving such written notice thereof, and (z) the termination of the Executive’s employment with the Company occurs not more than one (1) year following the initial existence of the condition claimed to constitute “Good Reason.”</w:t>
      </w:r>
    </w:p>
    <w:p>
      <w:pPr>
        <w:spacing w:after="0" w:line="154" w:lineRule="exact"/>
        <w:rPr>
          <w:sz w:val="20"/>
          <w:szCs w:val="20"/>
          <w:color w:val="auto"/>
        </w:rPr>
      </w:pPr>
    </w:p>
    <w:p>
      <w:pPr>
        <w:jc w:val="both"/>
        <w:ind w:left="652" w:right="220" w:hanging="4"/>
        <w:spacing w:after="0" w:line="264" w:lineRule="auto"/>
        <w:tabs>
          <w:tab w:leader="none" w:pos="135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 shall mean (i) a termination of the Executive’s employment by the Company without Cause (and other than due to Executive’s death or in connection with a good faith determination by the Board that the Executive has a Disability), or (ii) a resignation by the Executive for Good Reason.</w:t>
      </w:r>
    </w:p>
    <w:p>
      <w:pPr>
        <w:spacing w:after="0" w:line="181" w:lineRule="exact"/>
        <w:rPr>
          <w:rFonts w:ascii="Arial" w:cs="Arial" w:eastAsia="Arial" w:hAnsi="Arial"/>
          <w:sz w:val="18"/>
          <w:szCs w:val="18"/>
          <w:color w:val="auto"/>
        </w:rPr>
      </w:pPr>
    </w:p>
    <w:p>
      <w:pPr>
        <w:jc w:val="both"/>
        <w:ind w:left="652" w:right="160" w:hanging="4"/>
        <w:spacing w:after="0" w:line="264" w:lineRule="auto"/>
        <w:tabs>
          <w:tab w:leader="none" w:pos="13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As used herein, a “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652" w:right="300" w:hanging="4"/>
        <w:spacing w:after="0" w:line="277" w:lineRule="auto"/>
        <w:tabs>
          <w:tab w:leader="none" w:pos="131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 means, with respect to any Person, any corporation or other entity a majority of whose outstanding voting stock or voting power is beneficially owned directly or indirectly by such Person.</w:t>
      </w:r>
    </w:p>
    <w:p>
      <w:pPr>
        <w:spacing w:after="0" w:line="166" w:lineRule="exact"/>
        <w:rPr>
          <w:rFonts w:ascii="Arial" w:cs="Arial" w:eastAsia="Arial" w:hAnsi="Arial"/>
          <w:sz w:val="18"/>
          <w:szCs w:val="18"/>
          <w:color w:val="auto"/>
        </w:rPr>
      </w:pPr>
    </w:p>
    <w:p>
      <w:pPr>
        <w:ind w:left="572" w:hanging="572"/>
        <w:spacing w:after="0"/>
        <w:tabs>
          <w:tab w:leader="none" w:pos="57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 Section 280G</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right="120" w:hanging="4"/>
        <w:spacing w:after="0" w:line="264" w:lineRule="auto"/>
        <w:tabs>
          <w:tab w:leader="none" w:pos="13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the Company may withhold (or cause there to be withheld, as the case may be) from any amounts otherwise due or payable under or pursuant to this Agreement such federal, state and local income, employment, or other taxes as may be required to be withheld pursuant to any applicable law or regulation.</w:t>
      </w:r>
    </w:p>
    <w:p>
      <w:pPr>
        <w:spacing w:after="0" w:line="181" w:lineRule="exact"/>
        <w:rPr>
          <w:rFonts w:ascii="Arial" w:cs="Arial" w:eastAsia="Arial" w:hAnsi="Arial"/>
          <w:sz w:val="18"/>
          <w:szCs w:val="18"/>
          <w:color w:val="auto"/>
        </w:rPr>
      </w:pPr>
    </w:p>
    <w:p>
      <w:pPr>
        <w:ind w:left="652" w:hanging="4"/>
        <w:spacing w:after="0" w:line="284" w:lineRule="auto"/>
        <w:tabs>
          <w:tab w:leader="none" w:pos="1357"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to the extent that the payments and benefits provided under this Agreement and benefits provided to, or for the benefit of, the Executive under any other Company plan or agreement (such payments or benefits are collectively referred to as the “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 would be subject to the excise tax (the “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 imposed under Section 4999 of the Internal Revenue Code of 1986, as amended (the “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Benefits shall be reduced (but not below zero) if and to the extent that a reduction in the Benefits would result in the Executive retaining a larger amount, on an after-tax basis (taking into account federal, state and local income taxes and the Excise Tax), than if the Executive received all of the Benefits (such reduced amount is referred to hereinafter as the “ </w:t>
      </w:r>
      <w:r>
        <w:rPr>
          <w:rFonts w:ascii="Arial" w:cs="Arial" w:eastAsia="Arial" w:hAnsi="Arial"/>
          <w:sz w:val="16"/>
          <w:szCs w:val="16"/>
          <w:u w:val="single" w:color="auto"/>
          <w:color w:val="auto"/>
        </w:rPr>
        <w:t>Limited Benefit Amount</w:t>
      </w:r>
      <w:r>
        <w:rPr>
          <w:rFonts w:ascii="Arial" w:cs="Arial" w:eastAsia="Arial" w:hAnsi="Arial"/>
          <w:sz w:val="16"/>
          <w:szCs w:val="16"/>
          <w:color w:val="auto"/>
        </w:rPr>
        <w:t xml:space="preserve"> ”). Unless the Executive shall have given prior written notice (to the extent such a notice does not result in any tax liabilities under Section 409A of the Code) specifying a different order to the Company to effectuate the Limited Benefit Amount,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hereinafter defined). Any notice given by the Executive pursuant to the preceding sentence shall take precedence over the provisions of any other plan, arrangement or agreement governing the Executive’s rights and entitlements to any benefits or compensation. A determination as to whether the Benefits shall be reduced to the Limited Benefit Amount pursuant to this Agreement and the amount of such Limited Benefit Amount shall be made by Company’s independent public accountants or another certified public accounting firm of national reputation designated by the Company (the “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 at the Company’s expense. The Accounting Firm shall provide its determination (the “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 together with detailed supporting calculations and documentation to Company and Executive within five (5) days of the date of termination of the Executive’s employment, if applicable, or such other time as requested by Company or the Executive (provided the Executive reasonably believes that any of the Benefits may be subject to the Excise Tax), and if the Accounting Firm determines that no Excise Tax is payable by the Executive with respect to any Benefits, it shall furnish the Executive with an opinion reasonably acceptable to the Executive that no Excise Tax will be imposed with respect to any such Benefits. Unless the Executive provides written notice to Company within ten (10) days of the delivery of the Determination to the Executive that he disputes such Determination, the Determination shall be binding, final and conclusive upon Company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57" w:name="page58"/>
    <w:bookmarkEnd w:id="57"/>
    <w:p>
      <w:pPr>
        <w:ind w:left="572" w:right="120" w:hanging="572"/>
        <w:spacing w:after="0" w:line="266" w:lineRule="auto"/>
        <w:tabs>
          <w:tab w:leader="none" w:pos="5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hereby reaffirms his obligations under the confidentiality and other restrictive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Confidential Information Agreement between the Executive and the Company dated [________, 20__] (the “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 as in effect on the Effective Date.</w:t>
      </w:r>
    </w:p>
    <w:p>
      <w:pPr>
        <w:spacing w:after="0" w:line="176" w:lineRule="exact"/>
        <w:rPr>
          <w:rFonts w:ascii="Arial" w:cs="Arial" w:eastAsia="Arial" w:hAnsi="Arial"/>
          <w:sz w:val="18"/>
          <w:szCs w:val="18"/>
          <w:b w:val="1"/>
          <w:bCs w:val="1"/>
          <w:color w:val="auto"/>
        </w:rPr>
      </w:pPr>
    </w:p>
    <w:p>
      <w:pPr>
        <w:ind w:left="572" w:hanging="572"/>
        <w:spacing w:after="0"/>
        <w:tabs>
          <w:tab w:leader="none" w:pos="5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64" w:lineRule="auto"/>
        <w:tabs>
          <w:tab w:leader="none" w:pos="134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1" w:lineRule="exact"/>
        <w:rPr>
          <w:rFonts w:ascii="Arial" w:cs="Arial" w:eastAsia="Arial" w:hAnsi="Arial"/>
          <w:sz w:val="18"/>
          <w:szCs w:val="18"/>
          <w:color w:val="auto"/>
        </w:rPr>
      </w:pPr>
    </w:p>
    <w:p>
      <w:pPr>
        <w:ind w:left="652" w:right="20" w:hanging="4"/>
        <w:spacing w:after="0" w:line="255" w:lineRule="auto"/>
        <w:tabs>
          <w:tab w:leader="none" w:pos="13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 Without limiting the generality of the preceding sentence,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or assignee, as applicable, which assumes and agrees to perform this Agreement by operation of law or otherwise.</w:t>
      </w:r>
    </w:p>
    <w:p>
      <w:pPr>
        <w:spacing w:after="0" w:line="189" w:lineRule="exact"/>
        <w:rPr>
          <w:rFonts w:ascii="Arial" w:cs="Arial" w:eastAsia="Arial" w:hAnsi="Arial"/>
          <w:sz w:val="18"/>
          <w:szCs w:val="18"/>
          <w:color w:val="auto"/>
        </w:rPr>
      </w:pPr>
    </w:p>
    <w:p>
      <w:pPr>
        <w:ind w:left="572" w:right="280" w:hanging="572"/>
        <w:spacing w:after="0" w:line="314" w:lineRule="auto"/>
        <w:tabs>
          <w:tab w:leader="none" w:pos="57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and Gender; Examples</w:t>
      </w:r>
      <w:r>
        <w:rPr>
          <w:rFonts w:ascii="Arial" w:cs="Arial" w:eastAsia="Arial" w:hAnsi="Arial"/>
          <w:sz w:val="16"/>
          <w:szCs w:val="16"/>
          <w:b w:val="1"/>
          <w:bCs w:val="1"/>
          <w:color w:val="auto"/>
        </w:rPr>
        <w:t xml:space="preserve"> . </w:t>
      </w:r>
      <w:r>
        <w:rPr>
          <w:rFonts w:ascii="Arial" w:cs="Arial" w:eastAsia="Arial" w:hAnsi="Arial"/>
          <w:sz w:val="16"/>
          <w:szCs w:val="16"/>
          <w:color w:val="auto"/>
        </w:rPr>
        <w:t>Where the context requires, the singular shall include the plural, the plural shall include the singular,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gender shall include all other genders. Where specific language is used to clarify by example a general statement contained herein, such specific language shall not be deemed to modify, limit or restrict in any manner the construction of the general statement to which it relates.</w:t>
      </w:r>
    </w:p>
    <w:p>
      <w:pPr>
        <w:spacing w:after="0" w:line="142" w:lineRule="exact"/>
        <w:rPr>
          <w:rFonts w:ascii="Arial" w:cs="Arial" w:eastAsia="Arial" w:hAnsi="Arial"/>
          <w:sz w:val="16"/>
          <w:szCs w:val="16"/>
          <w:b w:val="1"/>
          <w:bCs w:val="1"/>
          <w:color w:val="auto"/>
        </w:rPr>
      </w:pPr>
    </w:p>
    <w:p>
      <w:pPr>
        <w:ind w:left="572" w:right="640" w:hanging="572"/>
        <w:spacing w:after="0" w:line="347" w:lineRule="auto"/>
        <w:tabs>
          <w:tab w:leader="none" w:pos="572"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Headings</w:t>
      </w:r>
      <w:r>
        <w:rPr>
          <w:rFonts w:ascii="Arial" w:cs="Arial" w:eastAsia="Arial" w:hAnsi="Arial"/>
          <w:sz w:val="16"/>
          <w:szCs w:val="16"/>
          <w:b w:val="1"/>
          <w:bCs w:val="1"/>
          <w:color w:val="auto"/>
        </w:rPr>
        <w:t xml:space="preserve"> . </w:t>
      </w:r>
      <w:r>
        <w:rPr>
          <w:rFonts w:ascii="Arial" w:cs="Arial" w:eastAsia="Arial" w:hAnsi="Arial"/>
          <w:sz w:val="16"/>
          <w:szCs w:val="16"/>
          <w:color w:val="auto"/>
        </w:rPr>
        <w:t>The section headings of, and titles of paragraphs and subparagraphs contained in, this Agreement are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only, and they neither form a part of this Agreement nor are they to be used in the construction or interpretation thereof.</w:t>
      </w:r>
    </w:p>
    <w:p>
      <w:pPr>
        <w:spacing w:after="0" w:line="116" w:lineRule="exact"/>
        <w:rPr>
          <w:rFonts w:ascii="Arial" w:cs="Arial" w:eastAsia="Arial" w:hAnsi="Arial"/>
          <w:sz w:val="16"/>
          <w:szCs w:val="16"/>
          <w:b w:val="1"/>
          <w:bCs w:val="1"/>
          <w:color w:val="auto"/>
        </w:rPr>
      </w:pPr>
    </w:p>
    <w:p>
      <w:pPr>
        <w:ind w:left="572" w:hanging="572"/>
        <w:spacing w:after="0" w:line="266" w:lineRule="auto"/>
        <w:tabs>
          <w:tab w:leader="none" w:pos="57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shall be deemed to have been executed and delivered within the State of Maryland, and the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hereunder shall be construed and enforced in accordance with, and governed by, the laws of the State of Maryland without regard to principles of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58" w:name="page59"/>
    <w:bookmarkEnd w:id="58"/>
    <w:p>
      <w:pPr>
        <w:jc w:val="both"/>
        <w:ind w:left="572" w:right="680" w:hanging="572"/>
        <w:spacing w:after="0" w:line="266" w:lineRule="auto"/>
        <w:tabs>
          <w:tab w:leader="none" w:pos="5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 </w:t>
      </w:r>
      <w:r>
        <w:rPr>
          <w:rFonts w:ascii="Arial" w:cs="Arial" w:eastAsia="Arial" w:hAnsi="Arial"/>
          <w:sz w:val="18"/>
          <w:szCs w:val="18"/>
          <w:color w:val="auto"/>
        </w:rPr>
        <w:t>If any provision of this Agreement or the application thereof is held invalid, the invalidity shall not affect other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of this Agreement which can be given effect without the invalid provisions or applications and to this end the provisions of this Agreement are declared to be severable.</w:t>
      </w:r>
    </w:p>
    <w:p>
      <w:pPr>
        <w:spacing w:after="0" w:line="176" w:lineRule="exact"/>
        <w:rPr>
          <w:rFonts w:ascii="Arial" w:cs="Arial" w:eastAsia="Arial" w:hAnsi="Arial"/>
          <w:sz w:val="18"/>
          <w:szCs w:val="18"/>
          <w:b w:val="1"/>
          <w:bCs w:val="1"/>
          <w:color w:val="auto"/>
        </w:rPr>
      </w:pPr>
    </w:p>
    <w:p>
      <w:pPr>
        <w:ind w:left="572" w:hanging="572"/>
        <w:spacing w:after="0" w:line="288" w:lineRule="auto"/>
        <w:tabs>
          <w:tab w:leader="none" w:pos="57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(and the other documents referred to herein) embodies the entire agreement of the parties hereto respecting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within its scope. This Agreement supersedes all prior and contemporaneous agreements of the parties hereto that directly or indirectly bears upon the subject matter hereof and any other written or oral agreement relating to the subject matter hereof existing between the parties (including, without limitation, the Existing Agreement) is expressly canceled. The Existing Agreement is hereby amended in its entirety and restated herein. All provisions of, rights granted under and covenants made in the Existing Agreement are hereby waived, released and superseded in their entirety and shall have no further force or effect. Any prior negotiations, correspondence, agreements, proposals or understandings relating to the subject matter hereof shall be deemed to have been merged into this Agreement, and to the extent inconsistent herewith, such negotiations, correspondence, agreements, proposals, or understandings shall be deemed to be of no force or effect. There are no representations, warranties, or agreements, whether express or implied, or oral or written, with respect to the subject matter hereof, except as expressly set forth herein. Notwithstanding anything above in this Section 10 to the contrary, and for purposes of clarity, the Confidentiality Agreement, as well as the Company’s rights under any trade secret, confidentiality, inventions or similar agreement or policy, are not integrated into this Agreement and shall continue in effect.</w:t>
      </w:r>
    </w:p>
    <w:p>
      <w:pPr>
        <w:spacing w:after="0" w:line="164" w:lineRule="exact"/>
        <w:rPr>
          <w:rFonts w:ascii="Arial" w:cs="Arial" w:eastAsia="Arial" w:hAnsi="Arial"/>
          <w:sz w:val="16"/>
          <w:szCs w:val="16"/>
          <w:b w:val="1"/>
          <w:bCs w:val="1"/>
          <w:color w:val="auto"/>
        </w:rPr>
      </w:pPr>
    </w:p>
    <w:p>
      <w:pPr>
        <w:ind w:left="572" w:right="180" w:hanging="572"/>
        <w:spacing w:after="0" w:line="282" w:lineRule="auto"/>
        <w:tabs>
          <w:tab w:leader="none" w:pos="5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may not be amended, modified or changed (in whole or in part), except by a formal, definitive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referring to this Agreement, which agreement is executed by both of the parties hereto.</w:t>
      </w:r>
    </w:p>
    <w:p>
      <w:pPr>
        <w:spacing w:after="0" w:line="161" w:lineRule="exact"/>
        <w:rPr>
          <w:rFonts w:ascii="Arial" w:cs="Arial" w:eastAsia="Arial" w:hAnsi="Arial"/>
          <w:sz w:val="18"/>
          <w:szCs w:val="18"/>
          <w:b w:val="1"/>
          <w:bCs w:val="1"/>
          <w:color w:val="auto"/>
        </w:rPr>
      </w:pPr>
    </w:p>
    <w:p>
      <w:pPr>
        <w:ind w:left="572" w:right="100" w:hanging="572"/>
        <w:spacing w:after="0" w:line="282" w:lineRule="auto"/>
        <w:tabs>
          <w:tab w:leader="none" w:pos="57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 </w:t>
      </w:r>
      <w:r>
        <w:rPr>
          <w:rFonts w:ascii="Arial" w:cs="Arial" w:eastAsia="Arial" w:hAnsi="Arial"/>
          <w:sz w:val="18"/>
          <w:szCs w:val="18"/>
          <w:color w:val="auto"/>
        </w:rPr>
        <w:t>No waiver of any breach of any term or provision of this Agreement shall be construed to be, nor shall be, a waiver of any other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waiver shall be binding unless in writing and signed by the party waiving the breach.</w:t>
      </w:r>
    </w:p>
    <w:p>
      <w:pPr>
        <w:spacing w:after="0" w:line="161" w:lineRule="exact"/>
        <w:rPr>
          <w:rFonts w:ascii="Arial" w:cs="Arial" w:eastAsia="Arial" w:hAnsi="Arial"/>
          <w:sz w:val="18"/>
          <w:szCs w:val="18"/>
          <w:b w:val="1"/>
          <w:bCs w:val="1"/>
          <w:color w:val="auto"/>
        </w:rPr>
      </w:pPr>
    </w:p>
    <w:p>
      <w:pPr>
        <w:ind w:left="572" w:right="120" w:hanging="572"/>
        <w:spacing w:after="0" w:line="287" w:lineRule="auto"/>
        <w:tabs>
          <w:tab w:leader="none" w:pos="57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 </w:t>
      </w:r>
      <w:r>
        <w:rPr>
          <w:rFonts w:ascii="Arial" w:cs="Arial" w:eastAsia="Arial" w:hAnsi="Arial"/>
          <w:sz w:val="16"/>
          <w:szCs w:val="16"/>
          <w:color w:val="auto"/>
        </w:rPr>
        <w:t>The parties shall attempt in good faith to resolve all claims, disputes and other disagreements arising under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Columbia, Maryland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w:t>
      </w:r>
    </w:p>
    <w:p>
      <w:pPr>
        <w:spacing w:after="0" w:line="168" w:lineRule="exact"/>
        <w:rPr>
          <w:rFonts w:ascii="Arial" w:cs="Arial" w:eastAsia="Arial" w:hAnsi="Arial"/>
          <w:sz w:val="16"/>
          <w:szCs w:val="16"/>
          <w:b w:val="1"/>
          <w:bCs w:val="1"/>
          <w:color w:val="auto"/>
        </w:rPr>
      </w:pPr>
    </w:p>
    <w:p>
      <w:pPr>
        <w:ind w:left="572" w:hanging="572"/>
        <w:spacing w:after="0" w:line="277" w:lineRule="auto"/>
        <w:tabs>
          <w:tab w:leader="none" w:pos="572"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 </w:t>
      </w:r>
      <w:r>
        <w:rPr>
          <w:rFonts w:ascii="Arial" w:cs="Arial" w:eastAsia="Arial" w:hAnsi="Arial"/>
          <w:sz w:val="17"/>
          <w:szCs w:val="17"/>
          <w:color w:val="auto"/>
        </w:rPr>
        <w:t>Any notice provided for in this Agreement must be in writing and must be either personally delivered, transmitted via telecopier, mailed by</w:t>
      </w:r>
      <w:r>
        <w:rPr>
          <w:rFonts w:ascii="Arial" w:cs="Arial" w:eastAsia="Arial" w:hAnsi="Arial"/>
          <w:sz w:val="17"/>
          <w:szCs w:val="17"/>
          <w:b w:val="1"/>
          <w:bCs w:val="1"/>
          <w:color w:val="auto"/>
        </w:rPr>
        <w:t xml:space="preserve"> </w:t>
      </w:r>
      <w:r>
        <w:rPr>
          <w:rFonts w:ascii="Arial" w:cs="Arial" w:eastAsia="Arial" w:hAnsi="Arial"/>
          <w:sz w:val="17"/>
          <w:szCs w:val="17"/>
          <w:color w:val="auto"/>
        </w:rPr>
        <w:t>first class mail (postage prepaid and return receipt requested) or sent by reputable overnight courier service (charges prepaid) to the recipient at the address below indicated or at such other address or to the attention of such other person as the recipient party has specified by prior written notice to the sending party. Notices will be deemed to have been given hereunder and received when delivered personally, when received if transmitted via telecopier, five days after deposit in the U.S. mail and one day after deposit with a reputable overnight courier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476885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59" w:name="page60"/>
    <w:bookmarkEnd w:id="59"/>
    <w:p>
      <w:pPr>
        <w:ind w:left="1252"/>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Executive, to the address most recently on file in the payroll records of the Company.</w:t>
      </w:r>
    </w:p>
    <w:p>
      <w:pPr>
        <w:spacing w:after="0" w:line="221" w:lineRule="exact"/>
        <w:rPr>
          <w:sz w:val="20"/>
          <w:szCs w:val="20"/>
          <w:color w:val="auto"/>
        </w:rPr>
      </w:pPr>
    </w:p>
    <w:p>
      <w:pPr>
        <w:ind w:left="572" w:right="20" w:hanging="572"/>
        <w:spacing w:after="0" w:line="289" w:lineRule="auto"/>
        <w:tabs>
          <w:tab w:leader="none" w:pos="57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may be executed in any number of counterparts, each of which shall be deemed an original as against any party</w:t>
      </w:r>
      <w:r>
        <w:rPr>
          <w:rFonts w:ascii="Arial" w:cs="Arial" w:eastAsia="Arial" w:hAnsi="Arial"/>
          <w:sz w:val="16"/>
          <w:szCs w:val="16"/>
          <w:b w:val="1"/>
          <w:bCs w:val="1"/>
          <w:color w:val="auto"/>
        </w:rPr>
        <w:t xml:space="preserve"> </w:t>
      </w:r>
      <w:r>
        <w:rPr>
          <w:rFonts w:ascii="Arial" w:cs="Arial" w:eastAsia="Arial" w:hAnsi="Arial"/>
          <w:sz w:val="16"/>
          <w:szCs w:val="16"/>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w:t>
      </w:r>
    </w:p>
    <w:p>
      <w:pPr>
        <w:spacing w:after="0" w:line="1"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signatories. Photographic copies of such signed counterparts may be used in lieu of the originals for any purpose.</w:t>
      </w:r>
    </w:p>
    <w:p>
      <w:pPr>
        <w:spacing w:after="0" w:line="206" w:lineRule="exact"/>
        <w:rPr>
          <w:rFonts w:ascii="Arial" w:cs="Arial" w:eastAsia="Arial" w:hAnsi="Arial"/>
          <w:sz w:val="16"/>
          <w:szCs w:val="16"/>
          <w:b w:val="1"/>
          <w:bCs w:val="1"/>
          <w:color w:val="auto"/>
        </w:rPr>
      </w:pPr>
    </w:p>
    <w:p>
      <w:pPr>
        <w:ind w:left="572" w:hanging="572"/>
        <w:spacing w:after="0" w:line="298" w:lineRule="auto"/>
        <w:tabs>
          <w:tab w:leader="none" w:pos="572"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Legal Counsel; Mutual Drafting</w:t>
      </w:r>
      <w:r>
        <w:rPr>
          <w:rFonts w:ascii="Arial" w:cs="Arial" w:eastAsia="Arial" w:hAnsi="Arial"/>
          <w:sz w:val="16"/>
          <w:szCs w:val="16"/>
          <w:b w:val="1"/>
          <w:bCs w:val="1"/>
          <w:color w:val="auto"/>
        </w:rPr>
        <w:t xml:space="preserve"> . </w:t>
      </w:r>
      <w:r>
        <w:rPr>
          <w:rFonts w:ascii="Arial" w:cs="Arial" w:eastAsia="Arial" w:hAnsi="Arial"/>
          <w:sz w:val="16"/>
          <w:szCs w:val="16"/>
          <w:color w:val="auto"/>
        </w:rPr>
        <w:t>Each party recognizes that this is a legally binding contract and acknowledges and agrees that they have had the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consult with legal counsel of their choice. Each party has cooperated in the drafting, negotiation and preparation of this Agreement. Hence, in any construction to be made of this Agreement, the same shall not be construed against either party on the basis of that party being the drafter of such language. The Executive agrees and acknowledges that he has read and understands this Agreement, is entering into it freely and voluntarily, and has been advised to seek counsel prior to entering into this Agreement and has had ample opportunity to do so.</w:t>
      </w:r>
    </w:p>
    <w:p>
      <w:pPr>
        <w:spacing w:after="0" w:line="154" w:lineRule="exact"/>
        <w:rPr>
          <w:rFonts w:ascii="Arial" w:cs="Arial" w:eastAsia="Arial" w:hAnsi="Arial"/>
          <w:sz w:val="16"/>
          <w:szCs w:val="16"/>
          <w:b w:val="1"/>
          <w:bCs w:val="1"/>
          <w:color w:val="auto"/>
        </w:rPr>
      </w:pPr>
    </w:p>
    <w:p>
      <w:pPr>
        <w:ind w:left="572" w:hanging="572"/>
        <w:spacing w:after="0"/>
        <w:tabs>
          <w:tab w:leader="none" w:pos="5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57" w:lineRule="auto"/>
        <w:tabs>
          <w:tab w:leader="none" w:pos="13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ind w:left="652" w:right="20" w:hanging="4"/>
        <w:spacing w:after="0" w:line="271" w:lineRule="auto"/>
        <w:tabs>
          <w:tab w:leader="none" w:pos="1357"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the Executive is a “specified employee” within the meaning of Treasury Regulation Section 1.409A-1(i) as of the date of the Executive’s Separation from Service, the Executive shall not be entitled to any payment or benefit pursuant to Section 1.2(b) of this Agreement until the earlier of (i) the date which is six (6) months after his or her Separation from Service for any reason other than death, or (ii) the date of the Executive’s death. The provisions of this Section 17(b)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17(b)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78" w:lineRule="exact"/>
        <w:rPr>
          <w:rFonts w:ascii="Arial" w:cs="Arial" w:eastAsia="Arial" w:hAnsi="Arial"/>
          <w:sz w:val="17"/>
          <w:szCs w:val="17"/>
          <w:color w:val="auto"/>
        </w:rPr>
      </w:pPr>
    </w:p>
    <w:p>
      <w:pPr>
        <w:ind w:left="652" w:right="20" w:hanging="4"/>
        <w:spacing w:after="0" w:line="297" w:lineRule="auto"/>
        <w:tabs>
          <w:tab w:leader="none" w:pos="134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the extent that any benefits or reimbursements pursuant to Section 1.2(b)(ii) or Section 1.2(b)(iii) of this Agreement are taxable to the Executive, any reimbursement payment due to the Executive pursuant to such provisions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467360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60" w:name="page61"/>
    <w:bookmarkEnd w:id="60"/>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 the Company and the Executive have executed this Amended and Restated Change in Control Severance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Hooper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Director &amp; Chairman of Compensation Committee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Michael H. Tardugno</w:t>
      </w:r>
    </w:p>
    <w:p>
      <w:pPr>
        <w:sectPr>
          <w:pgSz w:w="11900" w:h="16838" w:orient="portrait"/>
          <w:cols w:equalWidth="0" w:num="1">
            <w:col w:w="11240"/>
          </w:cols>
          <w:pgMar w:left="240" w:top="580" w:right="419" w:bottom="1440" w:gutter="0" w:footer="0" w:header="0"/>
        </w:sectPr>
      </w:pPr>
    </w:p>
    <w:bookmarkStart w:id="61" w:name="page62"/>
    <w:bookmarkEnd w:id="61"/>
    <w:p>
      <w:pPr>
        <w:ind w:left="1044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AMENDED AND RESTATED CHANGE IN CONTROL SEVERANCE AGREEMENT</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THIS AMENDED AND RESTATED CHANGE IN CONTROL SEVERANCE AGREEMENT </w:t>
      </w:r>
      <w:r>
        <w:rPr>
          <w:rFonts w:ascii="Arial" w:cs="Arial" w:eastAsia="Arial" w:hAnsi="Arial"/>
          <w:sz w:val="18"/>
          <w:szCs w:val="18"/>
          <w:color w:val="auto"/>
        </w:rPr>
        <w:t>(this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is made and entered into this 6th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of September 2016 (the “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by and between Celsion Corporation,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and </w:t>
      </w:r>
      <w:r>
        <w:rPr>
          <w:rFonts w:ascii="Arial" w:cs="Arial" w:eastAsia="Arial" w:hAnsi="Arial"/>
          <w:sz w:val="18"/>
          <w:szCs w:val="18"/>
          <w:b w:val="1"/>
          <w:bCs w:val="1"/>
          <w:color w:val="auto"/>
        </w:rPr>
        <w:t>Nicolas Borys</w:t>
      </w:r>
      <w:r>
        <w:rPr>
          <w:rFonts w:ascii="Arial" w:cs="Arial" w:eastAsia="Arial" w:hAnsi="Arial"/>
          <w:sz w:val="18"/>
          <w:szCs w:val="18"/>
          <w:color w:val="auto"/>
        </w:rPr>
        <w:t xml:space="preserve"> (the “ </w:t>
      </w: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are parties to that certain dated as of November 29, 2011 (the “Existing Agreement”);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Existing Agreement in its entirety as set forth in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ENTER THIS AGREEMENT </w:t>
      </w:r>
      <w:r>
        <w:rPr>
          <w:rFonts w:ascii="Arial" w:cs="Arial" w:eastAsia="Arial" w:hAnsi="Arial"/>
          <w:sz w:val="18"/>
          <w:szCs w:val="18"/>
          <w:color w:val="auto"/>
        </w:rPr>
        <w:t>on the basis of the following facts, understandings and intentions:</w:t>
      </w:r>
    </w:p>
    <w:p>
      <w:pPr>
        <w:spacing w:after="0" w:line="229" w:lineRule="exact"/>
        <w:rPr>
          <w:sz w:val="20"/>
          <w:szCs w:val="20"/>
          <w:color w:val="auto"/>
        </w:rPr>
      </w:pPr>
    </w:p>
    <w:p>
      <w:pPr>
        <w:ind w:left="1320" w:hanging="664"/>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Executive is a key executive of the Company.</w:t>
      </w:r>
    </w:p>
    <w:p>
      <w:pPr>
        <w:spacing w:after="0" w:line="225" w:lineRule="exact"/>
        <w:rPr>
          <w:rFonts w:ascii="Arial" w:cs="Arial" w:eastAsia="Arial" w:hAnsi="Arial"/>
          <w:sz w:val="18"/>
          <w:szCs w:val="18"/>
          <w:color w:val="auto"/>
        </w:rPr>
      </w:pPr>
    </w:p>
    <w:p>
      <w:pPr>
        <w:jc w:val="both"/>
        <w:ind w:left="660" w:hanging="4"/>
        <w:spacing w:after="0" w:line="279" w:lineRule="auto"/>
        <w:tabs>
          <w:tab w:leader="none" w:pos="13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Should the possibility of a Change in Control arise, the Board of Directors of the Company (the “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 believes it is imperative that the Company and the Board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71" w:lineRule="exact"/>
        <w:rPr>
          <w:rFonts w:ascii="Arial" w:cs="Arial" w:eastAsia="Arial" w:hAnsi="Arial"/>
          <w:sz w:val="17"/>
          <w:szCs w:val="17"/>
          <w:color w:val="auto"/>
        </w:rPr>
      </w:pPr>
    </w:p>
    <w:p>
      <w:pPr>
        <w:ind w:left="660" w:right="280" w:hanging="4"/>
        <w:spacing w:after="0" w:line="264" w:lineRule="auto"/>
        <w:tabs>
          <w:tab w:leader="none" w:pos="136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(the “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 has approved the Company entering into a change in control severance agreement with the Executive to help mitigate the uncertainties and risks to the Executive should the possibility of a Change in Control arise.</w:t>
      </w:r>
    </w:p>
    <w:p>
      <w:pPr>
        <w:spacing w:after="0" w:line="181" w:lineRule="exact"/>
        <w:rPr>
          <w:rFonts w:ascii="Arial" w:cs="Arial" w:eastAsia="Arial" w:hAnsi="Arial"/>
          <w:sz w:val="18"/>
          <w:szCs w:val="18"/>
          <w:color w:val="auto"/>
        </w:rPr>
      </w:pPr>
    </w:p>
    <w:p>
      <w:pPr>
        <w:ind w:left="660" w:right="40" w:hanging="4"/>
        <w:spacing w:after="0" w:line="264" w:lineRule="auto"/>
        <w:tabs>
          <w:tab w:leader="none" w:pos="132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Agreement provides the benefits the Executive will be entitled to receive upon certain terminations of employment in connection with a Change in Control from and after the Effective Date and supersedes and negates all previous agreements with respect to such benefits except as expressly provided herein.</w:t>
      </w:r>
    </w:p>
    <w:p>
      <w:pPr>
        <w:spacing w:after="0" w:line="17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AGREEMENT</w:t>
      </w:r>
    </w:p>
    <w:p>
      <w:pPr>
        <w:spacing w:after="0" w:line="27" w:lineRule="exact"/>
        <w:rPr>
          <w:sz w:val="20"/>
          <w:szCs w:val="20"/>
          <w:color w:val="auto"/>
        </w:rPr>
      </w:pPr>
    </w:p>
    <w:p>
      <w:pPr>
        <w:ind w:right="200" w:firstLine="45"/>
        <w:spacing w:after="0" w:line="29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 in consideration of the above recitals incorporated herein and the mutual covenants and promises contained herein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expressly acknowledged, the parties agree as follows:</w:t>
      </w:r>
    </w:p>
    <w:p>
      <w:pPr>
        <w:spacing w:after="0" w:line="158" w:lineRule="exact"/>
        <w:rPr>
          <w:sz w:val="20"/>
          <w:szCs w:val="20"/>
          <w:color w:val="auto"/>
        </w:rPr>
      </w:pPr>
    </w:p>
    <w:p>
      <w:pPr>
        <w:ind w:left="720" w:hanging="712"/>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260" w:hanging="566"/>
        <w:spacing w:after="0" w:line="291" w:lineRule="auto"/>
        <w:tabs>
          <w:tab w:leader="none" w:pos="12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 xml:space="preserve">Termination Outside of Change in Control Context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at any time prior to the date of a Change in Control or any time after the date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that is two (2) years after a Change in Control, the Executive’s employment with the Company is terminated for any reason by the Company or by the Executive (in any case, the date that the Executive’s employment with the Company terminates is referred to as the “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 the Executive shall not be entitled to any payments or benefits under this Agreement. The Executive’s rights (if any) to receive any payments or benefits in connection with such termination shall be determined under any employment agreement, offer letter or similar agreement between the Executive and the Company then in effect (an “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 or any other Company agreement, plan or policy then in effect under which the Executive would be entitled to severance benefits in connection with such a termination of employment (any such agreement (including an Employment Agreement), plan or policy, a “ </w:t>
      </w:r>
      <w:r>
        <w:rPr>
          <w:rFonts w:ascii="Arial" w:cs="Arial" w:eastAsia="Arial" w:hAnsi="Arial"/>
          <w:sz w:val="16"/>
          <w:szCs w:val="16"/>
          <w:u w:val="single" w:color="auto"/>
          <w:color w:val="auto"/>
        </w:rPr>
        <w:t>Severance Arrangement</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2" w:name="page63"/>
    <w:bookmarkEnd w:id="62"/>
    <w:p>
      <w:pPr>
        <w:ind w:left="60" w:right="60" w:hanging="566"/>
        <w:spacing w:after="0" w:line="281" w:lineRule="auto"/>
        <w:tabs>
          <w:tab w:leader="none" w:pos="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 xml:space="preserve">Termination in Connection with a Change in Control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at any time during the period commencing on the date of a Change in Control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and ending two (2) years after the Change in Control, the Executive’s employment with the Company is terminated for any reason by the Company or by the Executive, the Company shall have no further obligation to make or provide to the Executive, and the Executive shall have no further right to receive or obtain from the Company, any payments or benefits except as follows:</w:t>
      </w:r>
    </w:p>
    <w:p>
      <w:pPr>
        <w:spacing w:after="0" w:line="169" w:lineRule="exact"/>
        <w:rPr>
          <w:sz w:val="20"/>
          <w:szCs w:val="20"/>
          <w:color w:val="auto"/>
        </w:rPr>
      </w:pPr>
    </w:p>
    <w:p>
      <w:pPr>
        <w:ind w:left="800" w:hanging="69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pay the Executive (or, in the event of his death, the Executive’s estate) any Accrued Obligations;</w:t>
      </w:r>
    </w:p>
    <w:p>
      <w:pPr>
        <w:spacing w:after="0" w:line="225" w:lineRule="exact"/>
        <w:rPr>
          <w:rFonts w:ascii="Arial" w:cs="Arial" w:eastAsia="Arial" w:hAnsi="Arial"/>
          <w:sz w:val="18"/>
          <w:szCs w:val="18"/>
          <w:color w:val="auto"/>
        </w:rPr>
      </w:pPr>
    </w:p>
    <w:p>
      <w:pPr>
        <w:jc w:val="both"/>
        <w:ind w:left="100" w:right="320" w:firstLine="5"/>
        <w:spacing w:after="0" w:line="264" w:lineRule="auto"/>
        <w:tabs>
          <w:tab w:leader="none" w:pos="8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such a termination of the Executive’s employment with the Company constitutes an Involuntary Termination, the Executive shall be entitled to the following benefits (in addition to the Accrued Obligations and any payments or benefits payable to the Executive pursuant to any Severance Arrangement):</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shall pay the Executive, subject to tax withholding and other authorized deductions, an amount equal to</w:t>
      </w:r>
    </w:p>
    <w:p>
      <w:pPr>
        <w:spacing w:after="0" w:line="46" w:lineRule="exact"/>
        <w:rPr>
          <w:rFonts w:ascii="Arial" w:cs="Arial" w:eastAsia="Arial" w:hAnsi="Arial"/>
          <w:sz w:val="16"/>
          <w:szCs w:val="16"/>
          <w:color w:val="auto"/>
        </w:rPr>
      </w:pPr>
    </w:p>
    <w:p>
      <w:pPr>
        <w:ind w:left="760" w:right="20" w:hanging="7"/>
        <w:spacing w:after="0" w:line="253" w:lineRule="auto"/>
        <w:tabs>
          <w:tab w:leader="none" w:pos="10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two (2), times (y) the sum of (1) the Executive’s base salary at the annualized rate in effect on the Severance Date plus (2) the Executive’s target annual bonus for the Company’s fiscal year in which the Severance Date occurs. Such amount is referred to hereinafter as the “</w:t>
      </w:r>
      <w:r>
        <w:rPr>
          <w:rFonts w:ascii="Arial" w:cs="Arial" w:eastAsia="Arial" w:hAnsi="Arial"/>
          <w:sz w:val="18"/>
          <w:szCs w:val="18"/>
          <w:u w:val="single" w:color="auto"/>
          <w:color w:val="auto"/>
        </w:rPr>
        <w:t>Severance Benefit”</w:t>
      </w:r>
      <w:r>
        <w:rPr>
          <w:rFonts w:ascii="Arial" w:cs="Arial" w:eastAsia="Arial" w:hAnsi="Arial"/>
          <w:sz w:val="18"/>
          <w:szCs w:val="18"/>
          <w:color w:val="auto"/>
        </w:rPr>
        <w:t>. Subject to Section 17(b), the Company shall pay the Severance Benefit to the Executive in a lump sum in the month following the month in which the Executive’s Separation from Service (as such term is defined in Section 2) occurs.</w:t>
      </w:r>
    </w:p>
    <w:p>
      <w:pPr>
        <w:spacing w:after="0" w:line="191" w:lineRule="exact"/>
        <w:rPr>
          <w:rFonts w:ascii="Arial" w:cs="Arial" w:eastAsia="Arial" w:hAnsi="Arial"/>
          <w:sz w:val="18"/>
          <w:szCs w:val="18"/>
          <w:color w:val="auto"/>
        </w:rPr>
      </w:pPr>
    </w:p>
    <w:p>
      <w:pPr>
        <w:ind w:left="760" w:hanging="7"/>
        <w:spacing w:after="0" w:line="287" w:lineRule="auto"/>
        <w:tabs>
          <w:tab w:leader="none" w:pos="1472"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Company will pay or reimburse the Executive for his premiums charged to continue medical coverage pursuant to the Consolidated Omnibus Budget Reconciliation Act (“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 at the same or reasonably equivalent medical coverage for the Executive (and, if applicable, the Executive’s eligible dependents) as in effect immediately prior to the Severance Date, to the extent that the Executive elects such continued coverage; provided that the Company’s obligation to make any payment or reimbursement pursuant to this clause (ii) shall, subject to Section 17(b), commence with continuation coverage for the month following the month in which the Executive’s Separation from Service occurs and shall cease with continuation coverage for the twenty fourth (24 th ) month following the month in which the Executive’s Separation from Service occurs (or, if earlier, shall cease upon the first to occur of the Executive’s death, the date the Executive becomes eligible for coverage under the health plan of a future employer, or the date the Company ceases to offer group medical coverage to its active executive employees or the Company is otherwise under no obligation to offer COBRA continuation coverage to the Executive). To the extent the Executive elects COBRA coverage, he shall notify the Company in writing of such election prior to such coverage taking effect and complete any other continuation coverage enrollment procedures the Company may then have in place.</w:t>
      </w:r>
    </w:p>
    <w:p>
      <w:pPr>
        <w:spacing w:after="0" w:line="168" w:lineRule="exact"/>
        <w:rPr>
          <w:rFonts w:ascii="Arial" w:cs="Arial" w:eastAsia="Arial" w:hAnsi="Arial"/>
          <w:sz w:val="16"/>
          <w:szCs w:val="16"/>
          <w:color w:val="auto"/>
        </w:rPr>
      </w:pPr>
    </w:p>
    <w:p>
      <w:pPr>
        <w:ind w:left="760" w:right="140" w:firstLine="33"/>
        <w:spacing w:after="0" w:line="259" w:lineRule="auto"/>
        <w:tabs>
          <w:tab w:leader="none" w:pos="1517"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Company will pay or reimburse the Executive for his premiums charged to continue term life insurance coverage provided by the Company for the Executive (and, if applicable, the Executive’s eligible dependents), on the terms and at the coverage levels in effect on the Severance Date, for a period of twenty fourth (24) months commencing with the month following the month in which the Executive’s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485775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63" w:name="page64"/>
    <w:bookmarkEnd w:id="63"/>
    <w:p>
      <w:pPr>
        <w:ind w:left="1260" w:hanging="7"/>
        <w:spacing w:after="0" w:line="285" w:lineRule="auto"/>
        <w:tabs>
          <w:tab w:leader="none" w:pos="197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Each option and other equity-based award granted by the Company to the Executive, to the extent outstanding and unvested on the Severance Date, shall accelerate and be fully vested as of the Severance Date; provided, however, that, as to any such equity award that is subject to performance-based vesting requirements, the vesting of such award will continue to be governed by its terms, except that any service-based vesting requirement applicable to such award will be deemed to be fully satisfied as of the Severance Date. Each such award that is an option or similar award, to the extent outstanding and vested on the Severance Date (after giving effect to the foregoing acceleration provision), shall be exercisable after the Severance Date as follows: (x) to the extent such option or award was outstanding and vested on the date of the Change in Control, such option or award shall remain exercisable for the remainder of the original maximum term of such option or award, and (y) to the extent such option or award was unvested on the date of the Change in Control and vested at any time after the Change in Control and on or before the Severance Date (including any such option or award that vested pursuant to the foregoing acceleration provision), such option or award shall remain exercisable until the first to occur of (A) the last day of the original maximum term of such option or award, or (B) the date that is twenty fourth (24) months after the last day such option or award would have been exercisable in accordance with its terms following such a termination of the Executive’s employment. Notwithstanding the preceding sentence, any such option or award shall be subject to earlier termination in connection with a change in control of the Company and similar events as provided in the applicable plan and/or award agreement (provided that the Executive is given a reasonable opportunity to exercise such vested option or award prior to its termination.)</w:t>
      </w:r>
    </w:p>
    <w:p>
      <w:pPr>
        <w:spacing w:after="0" w:line="177" w:lineRule="exact"/>
        <w:rPr>
          <w:rFonts w:ascii="Arial" w:cs="Arial" w:eastAsia="Arial" w:hAnsi="Arial"/>
          <w:sz w:val="16"/>
          <w:szCs w:val="16"/>
          <w:color w:val="auto"/>
        </w:rPr>
      </w:pPr>
    </w:p>
    <w:p>
      <w:pPr>
        <w:ind w:left="600" w:firstLine="5"/>
        <w:spacing w:after="0" w:line="257" w:lineRule="auto"/>
        <w:tabs>
          <w:tab w:leader="none" w:pos="12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foregoing provisions of this Section 1.2 shall not affect: (i) the Executive’s receipt of benefits otherwise due terminated employees under group insurance coverage consistent with the terms of the applicable Company welfare benefit plan; (ii) the Executive’s rights under COBRA to continue participation in medical, dental, hospitalization and life insurance coverage; or (iii) the Executive’s receipt of benefits otherwise due in accordance with the terms of the Company’s 401(k) plan (if any) and any vested Company equity or incentive awards in accordance with the terms and conditions of such awards.</w:t>
      </w:r>
    </w:p>
    <w:p>
      <w:pPr>
        <w:spacing w:after="0" w:line="188" w:lineRule="exact"/>
        <w:rPr>
          <w:rFonts w:ascii="Arial" w:cs="Arial" w:eastAsia="Arial" w:hAnsi="Arial"/>
          <w:sz w:val="18"/>
          <w:szCs w:val="18"/>
          <w:color w:val="auto"/>
        </w:rPr>
      </w:pPr>
    </w:p>
    <w:p>
      <w:pPr>
        <w:ind w:left="600" w:right="80" w:firstLine="5"/>
        <w:spacing w:after="0" w:line="264" w:lineRule="auto"/>
        <w:tabs>
          <w:tab w:leader="none" w:pos="13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For avoidance of doubt, if the Executive is entitled to receive severance benefits in connection with a termination of employment under both this Agreement and any Severance Arrangement, the Executive shall be entitled to receive both the benefits provided in this Agreement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benefits provided in such Severance Arrangement.</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 xml:space="preserve">Release; No Duty to Mitigate </w:t>
      </w:r>
      <w:r>
        <w:rPr>
          <w:rFonts w:ascii="Arial" w:cs="Arial" w:eastAsia="Arial" w:hAnsi="Arial"/>
          <w:sz w:val="16"/>
          <w:szCs w:val="16"/>
          <w:b w:val="1"/>
          <w:bCs w:val="1"/>
          <w:color w:val="auto"/>
        </w:rPr>
        <w:t>.</w:t>
      </w:r>
    </w:p>
    <w:p>
      <w:pPr>
        <w:spacing w:after="0" w:line="229" w:lineRule="exact"/>
        <w:rPr>
          <w:sz w:val="20"/>
          <w:szCs w:val="20"/>
          <w:color w:val="auto"/>
        </w:rPr>
      </w:pPr>
    </w:p>
    <w:p>
      <w:pPr>
        <w:ind w:left="600" w:firstLine="5"/>
        <w:spacing w:after="0" w:line="255" w:lineRule="auto"/>
        <w:tabs>
          <w:tab w:leader="none" w:pos="12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This Section 1.3 shall apply notwithstanding anything else contained in this Agreement to the contrary. As a condition precedent to any Company obligation to the Executive pursuant to Section 1.2(b), the Executive shall, upon or promptly following his last day of employment with the Company (and in all events within twenty-one (21) days after his last day of employment with the Company), provide the Company with a valid, executed Release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as the Company may determine to be required or reasonably advisable in order to make the release enforceable and otherwise compliant with applicable laws), and such Release Agreement shall have not been revoked by the Executive pursuant to any revocation rights afforded by applicable law.</w:t>
      </w:r>
    </w:p>
    <w:p>
      <w:pPr>
        <w:spacing w:after="0" w:line="189" w:lineRule="exact"/>
        <w:rPr>
          <w:rFonts w:ascii="Arial" w:cs="Arial" w:eastAsia="Arial" w:hAnsi="Arial"/>
          <w:sz w:val="18"/>
          <w:szCs w:val="18"/>
          <w:color w:val="auto"/>
        </w:rPr>
      </w:pPr>
    </w:p>
    <w:p>
      <w:pPr>
        <w:ind w:left="600" w:right="40" w:firstLine="5"/>
        <w:spacing w:after="0" w:line="273" w:lineRule="auto"/>
        <w:tabs>
          <w:tab w:leader="none" w:pos="130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and the Executive acknowledge and agree that there is no duty of the Executive to mitigate damages under this Agreement. All amounts paid to the Executive pursuant to Section 1.2 shall be paid without regard to whether the Executive has taken or takes actions to mitigate damages. The Executive agrees to resign, on the Severance Date, from the Company and any affiliate of the Company, as an officer and director of the Company, and as a fiduciary of any benefit plan of the Company or any affiliate of the Company (in each case, to the extent the Executive then has any such position), and to promptly execute and provide to the Company any further documentation, as requested by the Company, to confirm such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480695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80"/>
          </w:cols>
          <w:pgMar w:left="940" w:top="584" w:right="279" w:bottom="1440" w:gutter="0" w:footer="0" w:header="0"/>
        </w:sectPr>
      </w:pPr>
    </w:p>
    <w:bookmarkStart w:id="64" w:name="page65"/>
    <w:bookmarkEnd w:id="64"/>
    <w:p>
      <w:pPr>
        <w:ind w:left="572" w:hanging="572"/>
        <w:spacing w:after="0"/>
        <w:tabs>
          <w:tab w:leader="none" w:pos="57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 As used herein, the following terms shall have the meanings set forth below in this Section 2.</w:t>
      </w:r>
    </w:p>
    <w:p>
      <w:pPr>
        <w:spacing w:after="0" w:line="229" w:lineRule="exact"/>
        <w:rPr>
          <w:rFonts w:ascii="Arial" w:cs="Arial" w:eastAsia="Arial" w:hAnsi="Arial"/>
          <w:sz w:val="18"/>
          <w:szCs w:val="18"/>
          <w:b w:val="1"/>
          <w:bCs w:val="1"/>
          <w:color w:val="auto"/>
        </w:rPr>
      </w:pPr>
    </w:p>
    <w:p>
      <w:pPr>
        <w:ind w:left="652" w:right="60" w:hanging="4"/>
        <w:spacing w:after="0" w:line="276" w:lineRule="auto"/>
        <w:tabs>
          <w:tab w:leader="none" w:pos="1347"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means (i) any base salary of the Executive that had accrued but had not been paid (including accrued and unpaid vacation time) on or before the Severance Date; (ii) any annual bonus payable to the Executive (to the extent not previously paid) with respect to the fiscal year of the Company prior to the fiscal year in which the Severance Date occurs; and (iii) any reimbursement due to the Executive for expenses reasonably incurred by the Executive on or before the Severance Date and documented and pre-approved, to the extent applicable, in accordance with the Company’s expense reimbursement policies in effect at the applicable time.</w:t>
      </w:r>
    </w:p>
    <w:p>
      <w:pPr>
        <w:spacing w:after="0" w:line="172" w:lineRule="exact"/>
        <w:rPr>
          <w:rFonts w:ascii="Arial" w:cs="Arial" w:eastAsia="Arial" w:hAnsi="Arial"/>
          <w:sz w:val="17"/>
          <w:szCs w:val="17"/>
          <w:color w:val="auto"/>
        </w:rPr>
      </w:pPr>
    </w:p>
    <w:p>
      <w:pPr>
        <w:jc w:val="both"/>
        <w:ind w:left="652" w:right="40" w:hanging="4"/>
        <w:spacing w:after="0" w:line="259" w:lineRule="auto"/>
        <w:tabs>
          <w:tab w:leader="none" w:pos="13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“Cause” shall mean, as reasonably determined by the Board (excluding the Executive, if he is then a member of the Board) based on the information then known to it, that one or more of the following has occurred:</w:t>
      </w:r>
    </w:p>
    <w:p>
      <w:pPr>
        <w:spacing w:after="0" w:line="186" w:lineRule="exact"/>
        <w:rPr>
          <w:rFonts w:ascii="Arial" w:cs="Arial" w:eastAsia="Arial" w:hAnsi="Arial"/>
          <w:sz w:val="18"/>
          <w:szCs w:val="18"/>
          <w:color w:val="auto"/>
        </w:rPr>
      </w:pPr>
    </w:p>
    <w:p>
      <w:pPr>
        <w:ind w:left="1292" w:right="160" w:firstLine="5"/>
        <w:spacing w:after="0" w:line="277" w:lineRule="auto"/>
        <w:tabs>
          <w:tab w:leader="none" w:pos="195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Executive is convicted of, pled guilty or pled nolo contendere to a felony (under the laws of the United States or any relevant state, or a similar crime or offense under the applicable laws of any relevant foreign jurisdiction);</w:t>
      </w:r>
    </w:p>
    <w:p>
      <w:pPr>
        <w:spacing w:after="0" w:line="170" w:lineRule="exact"/>
        <w:rPr>
          <w:rFonts w:ascii="Arial" w:cs="Arial" w:eastAsia="Arial" w:hAnsi="Arial"/>
          <w:sz w:val="18"/>
          <w:szCs w:val="18"/>
          <w:color w:val="auto"/>
        </w:rPr>
      </w:pPr>
    </w:p>
    <w:p>
      <w:pPr>
        <w:ind w:left="1292" w:right="300" w:firstLine="5"/>
        <w:spacing w:after="0" w:line="277" w:lineRule="auto"/>
        <w:tabs>
          <w:tab w:leader="none" w:pos="2007"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Executive has engaged in acts of fraud, dishonesty or other acts of willful misconduct in the course of his duties hereunder that are materially and demonstrably injurious to the Company or any of its Subsidiaries;</w:t>
      </w:r>
    </w:p>
    <w:p>
      <w:pPr>
        <w:spacing w:after="0" w:line="170" w:lineRule="exact"/>
        <w:rPr>
          <w:rFonts w:ascii="Arial" w:cs="Arial" w:eastAsia="Arial" w:hAnsi="Arial"/>
          <w:sz w:val="18"/>
          <w:szCs w:val="18"/>
          <w:color w:val="auto"/>
        </w:rPr>
      </w:pPr>
    </w:p>
    <w:p>
      <w:pPr>
        <w:ind w:left="1292" w:firstLine="5"/>
        <w:spacing w:after="0" w:line="264" w:lineRule="auto"/>
        <w:tabs>
          <w:tab w:leader="none" w:pos="2012"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Executive willfully fails to perform or uphold his duties to the Company or any of its Subsidiaries and/or willfully fails to comply with reasonable directives of the Board and/or engages in manifestly unethical behavior that is materially injurious to the Company; or</w:t>
      </w:r>
    </w:p>
    <w:p>
      <w:pPr>
        <w:spacing w:after="0" w:line="181" w:lineRule="exact"/>
        <w:rPr>
          <w:rFonts w:ascii="Arial" w:cs="Arial" w:eastAsia="Arial" w:hAnsi="Arial"/>
          <w:sz w:val="18"/>
          <w:szCs w:val="18"/>
          <w:color w:val="auto"/>
        </w:rPr>
      </w:pPr>
    </w:p>
    <w:p>
      <w:pPr>
        <w:ind w:left="1292" w:right="200" w:firstLine="5"/>
        <w:spacing w:after="0" w:line="277" w:lineRule="auto"/>
        <w:tabs>
          <w:tab w:leader="none" w:pos="2002" w:val="left"/>
        </w:tabs>
        <w:numPr>
          <w:ilvl w:val="2"/>
          <w:numId w:val="56"/>
        </w:numPr>
        <w:rPr>
          <w:rFonts w:ascii="Arial" w:cs="Arial" w:eastAsia="Arial" w:hAnsi="Arial"/>
          <w:sz w:val="18"/>
          <w:szCs w:val="18"/>
          <w:color w:val="auto"/>
        </w:rPr>
      </w:pPr>
      <w:r>
        <w:rPr>
          <w:rFonts w:ascii="Arial" w:cs="Arial" w:eastAsia="Arial" w:hAnsi="Arial"/>
          <w:sz w:val="18"/>
          <w:szCs w:val="18"/>
          <w:color w:val="auto"/>
        </w:rPr>
        <w:t>a material breach by the Executive of this Agreement, the Confidentiality Agreement, or any other contract he is a party to with the Company or any of its Subsidiaries;</w:t>
      </w:r>
    </w:p>
    <w:p>
      <w:pPr>
        <w:spacing w:after="0" w:line="170" w:lineRule="exact"/>
        <w:rPr>
          <w:sz w:val="20"/>
          <w:szCs w:val="20"/>
          <w:color w:val="auto"/>
        </w:rPr>
      </w:pPr>
    </w:p>
    <w:p>
      <w:pPr>
        <w:ind w:left="652" w:right="80"/>
        <w:spacing w:after="0" w:line="302" w:lineRule="auto"/>
        <w:rPr>
          <w:sz w:val="20"/>
          <w:szCs w:val="20"/>
          <w:color w:val="auto"/>
        </w:rPr>
      </w:pPr>
      <w:r>
        <w:rPr>
          <w:rFonts w:ascii="Arial" w:cs="Arial" w:eastAsia="Arial" w:hAnsi="Arial"/>
          <w:sz w:val="16"/>
          <w:szCs w:val="16"/>
          <w:color w:val="auto"/>
        </w:rPr>
        <w:t>provided, however, that the Executive shall be provided with notice of any conduct claimed to constitute Cause and a reasonable opportunity of not less than thirty (30) days to cure such conduct (to the extent such conduct is reasonably capable of cure in the circumstances); and provided, further, that for purposes of this definition,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154" w:lineRule="exact"/>
        <w:rPr>
          <w:sz w:val="20"/>
          <w:szCs w:val="20"/>
          <w:color w:val="auto"/>
        </w:rPr>
      </w:pPr>
    </w:p>
    <w:p>
      <w:pPr>
        <w:ind w:left="1352" w:hanging="704"/>
        <w:spacing w:after="0"/>
        <w:tabs>
          <w:tab w:leader="none" w:pos="13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means the occurrence of any of the following events:</w:t>
      </w:r>
    </w:p>
    <w:p>
      <w:pPr>
        <w:spacing w:after="0" w:line="225" w:lineRule="exact"/>
        <w:rPr>
          <w:rFonts w:ascii="Arial" w:cs="Arial" w:eastAsia="Arial" w:hAnsi="Arial"/>
          <w:sz w:val="18"/>
          <w:szCs w:val="18"/>
          <w:color w:val="auto"/>
        </w:rPr>
      </w:pPr>
    </w:p>
    <w:p>
      <w:pPr>
        <w:ind w:left="1292" w:right="120" w:firstLine="5"/>
        <w:spacing w:after="0" w:line="257" w:lineRule="auto"/>
        <w:tabs>
          <w:tab w:leader="none" w:pos="194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Any Person (as such term is used in Sections 13(d) and 14(d) of the Exchange Act), other than the Company, its Subsidiaries or any Company employee benefit plan (including any trustee of such plan acting as trustee), is or becomes the Beneficial Owner (as such term is defined for purposes of Rule 13d-3 under the Exchange Act), directly or indirectly, of securities of the Company representing more than thirty percent (30%) of the combined voting power of the then outstanding securities entitled to vote generally in the election of directors (“ </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of the Company; or</w:t>
      </w:r>
    </w:p>
    <w:p>
      <w:pPr>
        <w:spacing w:after="0" w:line="188" w:lineRule="exact"/>
        <w:rPr>
          <w:rFonts w:ascii="Arial" w:cs="Arial" w:eastAsia="Arial" w:hAnsi="Arial"/>
          <w:sz w:val="18"/>
          <w:szCs w:val="18"/>
          <w:color w:val="auto"/>
        </w:rPr>
      </w:pPr>
    </w:p>
    <w:p>
      <w:pPr>
        <w:ind w:left="1292" w:right="40" w:firstLine="5"/>
        <w:spacing w:after="0" w:line="257" w:lineRule="auto"/>
        <w:tabs>
          <w:tab w:leader="none" w:pos="20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Individuals who constitute the Board of the Company (the “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65" w:name="page66"/>
    <w:bookmarkEnd w:id="65"/>
    <w:p>
      <w:pPr>
        <w:ind w:left="644" w:right="80" w:firstLine="5"/>
        <w:spacing w:after="0" w:line="255" w:lineRule="auto"/>
        <w:tabs>
          <w:tab w:leader="none" w:pos="14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Consummation by the Company of a recapitalization, reorganization, merger, consolidation or other similar transaction (a “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 with respect to which all or substantially all of the individuals and entities who were the beneficial owners of the Voting Securities immediately prior such Business Combination (the “ </w:t>
      </w:r>
      <w:r>
        <w:rPr>
          <w:rFonts w:ascii="Arial" w:cs="Arial" w:eastAsia="Arial" w:hAnsi="Arial"/>
          <w:sz w:val="18"/>
          <w:szCs w:val="18"/>
          <w:u w:val="single" w:color="auto"/>
          <w:color w:val="auto"/>
        </w:rPr>
        <w:t>Incumbent Shareholders</w:t>
      </w:r>
      <w:r>
        <w:rPr>
          <w:rFonts w:ascii="Arial" w:cs="Arial" w:eastAsia="Arial" w:hAnsi="Arial"/>
          <w:sz w:val="18"/>
          <w:szCs w:val="18"/>
          <w:color w:val="auto"/>
        </w:rPr>
        <w:t xml:space="preserve"> ”)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 in substantially the same proportion as their ownership of such Voting Securities immediately prior to such Business Combination; or</w:t>
      </w:r>
    </w:p>
    <w:p>
      <w:pPr>
        <w:spacing w:after="0" w:line="189" w:lineRule="exact"/>
        <w:rPr>
          <w:rFonts w:ascii="Arial" w:cs="Arial" w:eastAsia="Arial" w:hAnsi="Arial"/>
          <w:sz w:val="18"/>
          <w:szCs w:val="18"/>
          <w:color w:val="auto"/>
        </w:rPr>
      </w:pPr>
    </w:p>
    <w:p>
      <w:pPr>
        <w:ind w:left="644" w:firstLine="5"/>
        <w:spacing w:after="0" w:line="257" w:lineRule="auto"/>
        <w:tabs>
          <w:tab w:leader="none" w:pos="13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8"/>
          <w:szCs w:val="18"/>
          <w:color w:val="auto"/>
        </w:rPr>
        <w:t xml:space="preserve">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 </w:t>
      </w: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w:t>
      </w:r>
    </w:p>
    <w:p>
      <w:pPr>
        <w:spacing w:after="0" w:line="181"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Only the first Change in Control that occurs after the Effective Date shall be considered a Change in Control for purposes of this Agreement; any transaction or occurrence after the first Change in Control that would otherwise constitute such a Change in Control shall not constitute a Change in Control for purposes of this Agreement.</w:t>
      </w:r>
    </w:p>
    <w:p>
      <w:pPr>
        <w:spacing w:after="0" w:line="181" w:lineRule="exact"/>
        <w:rPr>
          <w:sz w:val="20"/>
          <w:szCs w:val="20"/>
          <w:color w:val="auto"/>
        </w:rPr>
      </w:pPr>
    </w:p>
    <w:p>
      <w:pPr>
        <w:ind w:left="4" w:right="100" w:hanging="4"/>
        <w:spacing w:after="0" w:line="276" w:lineRule="auto"/>
        <w:tabs>
          <w:tab w:leader="none" w:pos="70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 has the meaning ascribed to such term (or similar term) in the Employment Agreement or, if there is no Employment Agreement then in effect or if such agreement does not include a definition of such term (or similar term), “Disability” means a physical or mental impairment which, as reasonably determined by the Board, renders the Executive unable to perform the essential functions of his employment with the Company, even with reasonable accommodation that does not impose an undue hardship on the Company, for more than 90 days in any 180-day period, unless a longer period is required by federal or state law, in which case that longer period would apply.</w:t>
      </w:r>
    </w:p>
    <w:p>
      <w:pPr>
        <w:spacing w:after="0" w:line="172" w:lineRule="exact"/>
        <w:rPr>
          <w:rFonts w:ascii="Arial" w:cs="Arial" w:eastAsia="Arial" w:hAnsi="Arial"/>
          <w:sz w:val="17"/>
          <w:szCs w:val="17"/>
          <w:color w:val="auto"/>
        </w:rPr>
      </w:pPr>
    </w:p>
    <w:p>
      <w:pPr>
        <w:ind w:left="704" w:hanging="704"/>
        <w:spacing w:after="0"/>
        <w:tabs>
          <w:tab w:leader="none" w:pos="7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w:t>
      </w:r>
    </w:p>
    <w:p>
      <w:pPr>
        <w:spacing w:after="0" w:line="225" w:lineRule="exact"/>
        <w:rPr>
          <w:rFonts w:ascii="Arial" w:cs="Arial" w:eastAsia="Arial" w:hAnsi="Arial"/>
          <w:sz w:val="18"/>
          <w:szCs w:val="18"/>
          <w:color w:val="auto"/>
        </w:rPr>
      </w:pPr>
    </w:p>
    <w:p>
      <w:pPr>
        <w:ind w:left="4" w:right="40" w:hanging="4"/>
        <w:spacing w:after="0" w:line="264" w:lineRule="auto"/>
        <w:tabs>
          <w:tab w:leader="none" w:pos="6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“Good Reason” shall mean the occurrence of one or more of the following (without the Executive’s express written consent):</w:t>
      </w:r>
    </w:p>
    <w:p>
      <w:pPr>
        <w:spacing w:after="0" w:line="181" w:lineRule="exact"/>
        <w:rPr>
          <w:rFonts w:ascii="Arial" w:cs="Arial" w:eastAsia="Arial" w:hAnsi="Arial"/>
          <w:sz w:val="18"/>
          <w:szCs w:val="18"/>
          <w:color w:val="auto"/>
        </w:rPr>
      </w:pPr>
    </w:p>
    <w:p>
      <w:pPr>
        <w:ind w:left="644" w:right="160" w:firstLine="5"/>
        <w:spacing w:after="0" w:line="342" w:lineRule="auto"/>
        <w:tabs>
          <w:tab w:leader="none" w:pos="1354" w:val="left"/>
        </w:tabs>
        <w:numPr>
          <w:ilvl w:val="1"/>
          <w:numId w:val="59"/>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(provided, that a change in the Executive’s title or in the individual(s) to whom the Executive reports resulting from a Change in Control shall not in and of itself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445770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66" w:name="page67"/>
    <w:bookmarkEnd w:id="66"/>
    <w:p>
      <w:pPr>
        <w:ind w:left="1292" w:right="560" w:firstLine="5"/>
        <w:spacing w:after="0" w:line="277" w:lineRule="auto"/>
        <w:tabs>
          <w:tab w:leader="none" w:pos="20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diminution by the Company of the Executive’s rate of base salary or annual target bonus opportunity as in effect immediately prior to such reduction;</w:t>
      </w:r>
    </w:p>
    <w:p>
      <w:pPr>
        <w:spacing w:after="0" w:line="170" w:lineRule="exact"/>
        <w:rPr>
          <w:rFonts w:ascii="Arial" w:cs="Arial" w:eastAsia="Arial" w:hAnsi="Arial"/>
          <w:sz w:val="18"/>
          <w:szCs w:val="18"/>
          <w:color w:val="auto"/>
        </w:rPr>
      </w:pPr>
    </w:p>
    <w:p>
      <w:pPr>
        <w:ind w:left="1292" w:right="20" w:firstLine="5"/>
        <w:spacing w:after="0" w:line="264" w:lineRule="auto"/>
        <w:tabs>
          <w:tab w:leader="none" w:pos="20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change in the location of the Executive’s principal workplace for the Company to a location that is more than fifty (50) miles from the Executive’s principal workplace as of the Effective Date and that results in an increased commute for the Executive from his or her principal residence (except for reasonable periods of required travel on Company business);</w:t>
      </w:r>
    </w:p>
    <w:p>
      <w:pPr>
        <w:spacing w:after="0" w:line="181" w:lineRule="exact"/>
        <w:rPr>
          <w:rFonts w:ascii="Arial" w:cs="Arial" w:eastAsia="Arial" w:hAnsi="Arial"/>
          <w:sz w:val="18"/>
          <w:szCs w:val="18"/>
          <w:color w:val="auto"/>
        </w:rPr>
      </w:pPr>
    </w:p>
    <w:p>
      <w:pPr>
        <w:ind w:left="1292" w:right="620" w:firstLine="5"/>
        <w:spacing w:after="0" w:line="277" w:lineRule="auto"/>
        <w:tabs>
          <w:tab w:leader="none" w:pos="200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failure of the Company to obtain the agreement from any successor to the Company to assume and agree to perform this Agreement as required by Section 5; or</w:t>
      </w:r>
    </w:p>
    <w:p>
      <w:pPr>
        <w:spacing w:after="0" w:line="170" w:lineRule="exact"/>
        <w:rPr>
          <w:rFonts w:ascii="Arial" w:cs="Arial" w:eastAsia="Arial" w:hAnsi="Arial"/>
          <w:sz w:val="18"/>
          <w:szCs w:val="18"/>
          <w:color w:val="auto"/>
        </w:rPr>
      </w:pPr>
    </w:p>
    <w:p>
      <w:pPr>
        <w:ind w:left="1992" w:hanging="695"/>
        <w:spacing w:after="0"/>
        <w:tabs>
          <w:tab w:leader="none" w:pos="19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material breach by the Company of this Agreement or any other agreement with the Executive;</w:t>
      </w:r>
    </w:p>
    <w:p>
      <w:pPr>
        <w:spacing w:after="0" w:line="225" w:lineRule="exact"/>
        <w:rPr>
          <w:sz w:val="20"/>
          <w:szCs w:val="20"/>
          <w:color w:val="auto"/>
        </w:rPr>
      </w:pPr>
    </w:p>
    <w:p>
      <w:pPr>
        <w:ind w:left="652" w:right="160"/>
        <w:spacing w:after="0" w:line="302" w:lineRule="auto"/>
        <w:rPr>
          <w:sz w:val="20"/>
          <w:szCs w:val="20"/>
          <w:color w:val="auto"/>
        </w:rPr>
      </w:pPr>
      <w:r>
        <w:rPr>
          <w:rFonts w:ascii="Arial" w:cs="Arial" w:eastAsia="Arial" w:hAnsi="Arial"/>
          <w:sz w:val="16"/>
          <w:szCs w:val="16"/>
          <w:color w:val="auto"/>
        </w:rPr>
        <w:t>provided, however, that any such condition shall not constitute “Good Reason” unless (x) the Executive provides written notice to the Company of the condition claimed to constitute Good Reason within ninety (90) days of the initial existence of such condition, (y) the Company fails to remedy such condition within thirty (30) days of receiving such written notice thereof, and (z) the termination of the Executive’s employment with the Company occurs not more than one (1) year following the initial existence of the condition claimed to constitute “Good Reason.”</w:t>
      </w:r>
    </w:p>
    <w:p>
      <w:pPr>
        <w:spacing w:after="0" w:line="154" w:lineRule="exact"/>
        <w:rPr>
          <w:sz w:val="20"/>
          <w:szCs w:val="20"/>
          <w:color w:val="auto"/>
        </w:rPr>
      </w:pPr>
    </w:p>
    <w:p>
      <w:pPr>
        <w:jc w:val="both"/>
        <w:ind w:left="652" w:right="220" w:hanging="4"/>
        <w:spacing w:after="0" w:line="264" w:lineRule="auto"/>
        <w:tabs>
          <w:tab w:leader="none" w:pos="135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 shall mean (i) a termination of the Executive’s employment by the Company without Cause (and other than due to Executive’s death or in connection with a good faith determination by the Board that the Executive has a Disability), or (ii) a resignation by the Executive for Good Reason.</w:t>
      </w:r>
    </w:p>
    <w:p>
      <w:pPr>
        <w:spacing w:after="0" w:line="181" w:lineRule="exact"/>
        <w:rPr>
          <w:rFonts w:ascii="Arial" w:cs="Arial" w:eastAsia="Arial" w:hAnsi="Arial"/>
          <w:sz w:val="18"/>
          <w:szCs w:val="18"/>
          <w:color w:val="auto"/>
        </w:rPr>
      </w:pPr>
    </w:p>
    <w:p>
      <w:pPr>
        <w:jc w:val="both"/>
        <w:ind w:left="652" w:right="160" w:hanging="4"/>
        <w:spacing w:after="0" w:line="264" w:lineRule="auto"/>
        <w:tabs>
          <w:tab w:leader="none" w:pos="134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As used herein, a “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652" w:right="300" w:hanging="4"/>
        <w:spacing w:after="0" w:line="277" w:lineRule="auto"/>
        <w:tabs>
          <w:tab w:leader="none" w:pos="1317"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 means, with respect to any Person, any corporation or other entity a majority of whose outstanding voting stock or voting power is beneficially owned directly or indirectly by such Person.</w:t>
      </w:r>
    </w:p>
    <w:p>
      <w:pPr>
        <w:spacing w:after="0" w:line="166" w:lineRule="exact"/>
        <w:rPr>
          <w:rFonts w:ascii="Arial" w:cs="Arial" w:eastAsia="Arial" w:hAnsi="Arial"/>
          <w:sz w:val="18"/>
          <w:szCs w:val="18"/>
          <w:color w:val="auto"/>
        </w:rPr>
      </w:pPr>
    </w:p>
    <w:p>
      <w:pPr>
        <w:ind w:left="572" w:hanging="572"/>
        <w:spacing w:after="0"/>
        <w:tabs>
          <w:tab w:leader="none" w:pos="57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 Section 280G</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right="120" w:hanging="4"/>
        <w:spacing w:after="0" w:line="264" w:lineRule="auto"/>
        <w:tabs>
          <w:tab w:leader="none" w:pos="1347"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the Company may withhold (or cause there to be withheld, as the case may be) from any amounts otherwise due or payable under or pursuant to this Agreement such federal, state and local income, employment, or other taxes as may be required to be withheld pursuant to any applicable law or regulation.</w:t>
      </w:r>
    </w:p>
    <w:p>
      <w:pPr>
        <w:spacing w:after="0" w:line="181" w:lineRule="exact"/>
        <w:rPr>
          <w:rFonts w:ascii="Arial" w:cs="Arial" w:eastAsia="Arial" w:hAnsi="Arial"/>
          <w:sz w:val="18"/>
          <w:szCs w:val="18"/>
          <w:color w:val="auto"/>
        </w:rPr>
      </w:pPr>
    </w:p>
    <w:p>
      <w:pPr>
        <w:ind w:left="652" w:hanging="4"/>
        <w:spacing w:after="0" w:line="284" w:lineRule="auto"/>
        <w:tabs>
          <w:tab w:leader="none" w:pos="13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to the extent that the payments and benefits provided under this Agreement and benefits provided to, or for the benefit of, the Executive under any other Company plan or agreement (such payments or benefits are collectively referred to as the “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 would be subject to the excise tax (the “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 imposed under Section 4999 of the Internal Revenue Code of 1986, as amended (the “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Benefits shall be reduced (but not below zero) if and to the extent that a reduction in the Benefits would result in the Executive retaining a larger amount, on an after-tax basis (taking into account federal, state and local income taxes and the Excise Tax), than if the Executive received all of the Benefits (such reduced amount is referred to hereinafter as the “ </w:t>
      </w:r>
      <w:r>
        <w:rPr>
          <w:rFonts w:ascii="Arial" w:cs="Arial" w:eastAsia="Arial" w:hAnsi="Arial"/>
          <w:sz w:val="16"/>
          <w:szCs w:val="16"/>
          <w:u w:val="single" w:color="auto"/>
          <w:color w:val="auto"/>
        </w:rPr>
        <w:t>Limited Benefit Amount</w:t>
      </w:r>
      <w:r>
        <w:rPr>
          <w:rFonts w:ascii="Arial" w:cs="Arial" w:eastAsia="Arial" w:hAnsi="Arial"/>
          <w:sz w:val="16"/>
          <w:szCs w:val="16"/>
          <w:color w:val="auto"/>
        </w:rPr>
        <w:t xml:space="preserve"> ”). Unless the Executive shall have given prior written notice (to the extent such a notice does not result in any tax liabilities under Section 409A of the Code) specifying a different order to the Company to effectuate the Limited Benefit Amount,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hereinafter defined). Any notice given by the Executive pursuant to the preceding sentence shall take precedence over the provisions of any other plan, arrangement or agreement governing the Executive’s rights and entitlements to any benefits or compensation. A determination as to whether the Benefits shall be reduced to the Limited Benefit Amount pursuant to this Agreement and the amount of such Limited Benefit Amount shall be made by Company’s independent public accountants or another certified public accounting firm of national reputation designated by the Company (the “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 at the Company’s expense. The Accounting Firm shall provide its determination (the “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 together with detailed supporting calculations and documentation to Company and Executive within five (5) days of the date of termination of the Executive’s employment, if applicable, or such other time as requested by Company or the Executive (provided the Executive reasonably believes that any of the Benefits may be subject to the Excise Tax), and if the Accounting Firm determines that no Excise Tax is payable by the Executive with respect to any Benefits, it shall furnish the Executive with an opinion reasonably acceptable to the Executive that no Excise Tax will be imposed with respect to any such Benefits. Unless the Executive provides written notice to Company within ten (10) days of the delivery of the Determination to the Executive that he disputes such Determination, the Determination shall be binding, final and conclusive upon Company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67" w:name="page68"/>
    <w:bookmarkEnd w:id="67"/>
    <w:p>
      <w:pPr>
        <w:jc w:val="both"/>
        <w:ind w:left="572" w:right="200" w:hanging="572"/>
        <w:spacing w:after="0" w:line="266" w:lineRule="auto"/>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hereby reaffirms his obligations under the confidentiality and other restrictive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Confidential Information Agreement between the Executive and the Company dated August 25, 2009 (the “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 as in effect on the Effective Date.</w:t>
      </w:r>
    </w:p>
    <w:p>
      <w:pPr>
        <w:spacing w:after="0" w:line="176" w:lineRule="exact"/>
        <w:rPr>
          <w:rFonts w:ascii="Arial" w:cs="Arial" w:eastAsia="Arial" w:hAnsi="Arial"/>
          <w:sz w:val="18"/>
          <w:szCs w:val="18"/>
          <w:b w:val="1"/>
          <w:bCs w:val="1"/>
          <w:color w:val="auto"/>
        </w:rPr>
      </w:pPr>
    </w:p>
    <w:p>
      <w:pPr>
        <w:ind w:left="572" w:hanging="572"/>
        <w:spacing w:after="0"/>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64" w:lineRule="auto"/>
        <w:tabs>
          <w:tab w:leader="none" w:pos="13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1" w:lineRule="exact"/>
        <w:rPr>
          <w:rFonts w:ascii="Arial" w:cs="Arial" w:eastAsia="Arial" w:hAnsi="Arial"/>
          <w:sz w:val="18"/>
          <w:szCs w:val="18"/>
          <w:color w:val="auto"/>
        </w:rPr>
      </w:pPr>
    </w:p>
    <w:p>
      <w:pPr>
        <w:ind w:left="652" w:right="20" w:hanging="4"/>
        <w:spacing w:after="0" w:line="255" w:lineRule="auto"/>
        <w:tabs>
          <w:tab w:leader="none" w:pos="135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 Without limiting the generality of the preceding sentence,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or assignee, as applicable, which assumes and agrees to perform this Agreement by operation of law or otherwise.</w:t>
      </w:r>
    </w:p>
    <w:p>
      <w:pPr>
        <w:spacing w:after="0" w:line="189" w:lineRule="exact"/>
        <w:rPr>
          <w:rFonts w:ascii="Arial" w:cs="Arial" w:eastAsia="Arial" w:hAnsi="Arial"/>
          <w:sz w:val="18"/>
          <w:szCs w:val="18"/>
          <w:color w:val="auto"/>
        </w:rPr>
      </w:pPr>
    </w:p>
    <w:p>
      <w:pPr>
        <w:ind w:left="572" w:right="280" w:hanging="572"/>
        <w:spacing w:after="0" w:line="314" w:lineRule="auto"/>
        <w:tabs>
          <w:tab w:leader="none" w:pos="57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and Gender; Examples</w:t>
      </w:r>
      <w:r>
        <w:rPr>
          <w:rFonts w:ascii="Arial" w:cs="Arial" w:eastAsia="Arial" w:hAnsi="Arial"/>
          <w:sz w:val="16"/>
          <w:szCs w:val="16"/>
          <w:b w:val="1"/>
          <w:bCs w:val="1"/>
          <w:color w:val="auto"/>
        </w:rPr>
        <w:t xml:space="preserve"> . </w:t>
      </w:r>
      <w:r>
        <w:rPr>
          <w:rFonts w:ascii="Arial" w:cs="Arial" w:eastAsia="Arial" w:hAnsi="Arial"/>
          <w:sz w:val="16"/>
          <w:szCs w:val="16"/>
          <w:color w:val="auto"/>
        </w:rPr>
        <w:t>Where the context requires, the singular shall include the plural, the plural shall include the singular,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gender shall include all other genders. Where specific language is used to clarify by example a general statement contained herein, such specific language shall not be deemed to modify, limit or restrict in any manner the construction of the general statement to which it relates.</w:t>
      </w:r>
    </w:p>
    <w:p>
      <w:pPr>
        <w:spacing w:after="0" w:line="142" w:lineRule="exact"/>
        <w:rPr>
          <w:rFonts w:ascii="Arial" w:cs="Arial" w:eastAsia="Arial" w:hAnsi="Arial"/>
          <w:sz w:val="16"/>
          <w:szCs w:val="16"/>
          <w:b w:val="1"/>
          <w:bCs w:val="1"/>
          <w:color w:val="auto"/>
        </w:rPr>
      </w:pPr>
    </w:p>
    <w:p>
      <w:pPr>
        <w:ind w:left="572" w:right="640" w:hanging="572"/>
        <w:spacing w:after="0" w:line="347" w:lineRule="auto"/>
        <w:tabs>
          <w:tab w:leader="none" w:pos="57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Headings</w:t>
      </w:r>
      <w:r>
        <w:rPr>
          <w:rFonts w:ascii="Arial" w:cs="Arial" w:eastAsia="Arial" w:hAnsi="Arial"/>
          <w:sz w:val="16"/>
          <w:szCs w:val="16"/>
          <w:b w:val="1"/>
          <w:bCs w:val="1"/>
          <w:color w:val="auto"/>
        </w:rPr>
        <w:t xml:space="preserve"> . </w:t>
      </w:r>
      <w:r>
        <w:rPr>
          <w:rFonts w:ascii="Arial" w:cs="Arial" w:eastAsia="Arial" w:hAnsi="Arial"/>
          <w:sz w:val="16"/>
          <w:szCs w:val="16"/>
          <w:color w:val="auto"/>
        </w:rPr>
        <w:t>The section headings of, and titles of paragraphs and subparagraphs contained in, this Agreement are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only, and they neither form a part of this Agreement nor are they to be used in the construction or interpretation thereof.</w:t>
      </w:r>
    </w:p>
    <w:p>
      <w:pPr>
        <w:spacing w:after="0" w:line="116" w:lineRule="exact"/>
        <w:rPr>
          <w:rFonts w:ascii="Arial" w:cs="Arial" w:eastAsia="Arial" w:hAnsi="Arial"/>
          <w:sz w:val="16"/>
          <w:szCs w:val="16"/>
          <w:b w:val="1"/>
          <w:bCs w:val="1"/>
          <w:color w:val="auto"/>
        </w:rPr>
      </w:pPr>
    </w:p>
    <w:p>
      <w:pPr>
        <w:ind w:left="572" w:hanging="572"/>
        <w:spacing w:after="0" w:line="266" w:lineRule="auto"/>
        <w:tabs>
          <w:tab w:leader="none" w:pos="5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shall be deemed to have been executed and delivered within the State of Maryland, and the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hereunder shall be construed and enforced in accordance with, and governed by, the laws of the State of Maryland without regard to principles of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68" w:name="page69"/>
    <w:bookmarkEnd w:id="68"/>
    <w:p>
      <w:pPr>
        <w:jc w:val="both"/>
        <w:ind w:left="572" w:right="680" w:hanging="572"/>
        <w:spacing w:after="0" w:line="266" w:lineRule="auto"/>
        <w:tabs>
          <w:tab w:leader="none" w:pos="5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 </w:t>
      </w:r>
      <w:r>
        <w:rPr>
          <w:rFonts w:ascii="Arial" w:cs="Arial" w:eastAsia="Arial" w:hAnsi="Arial"/>
          <w:sz w:val="18"/>
          <w:szCs w:val="18"/>
          <w:color w:val="auto"/>
        </w:rPr>
        <w:t>If any provision of this Agreement or the application thereof is held invalid, the invalidity shall not affect other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of this Agreement which can be given effect without the invalid provisions or applications and to this end the provisions of this Agreement are declared to be severable.</w:t>
      </w:r>
    </w:p>
    <w:p>
      <w:pPr>
        <w:spacing w:after="0" w:line="176" w:lineRule="exact"/>
        <w:rPr>
          <w:rFonts w:ascii="Arial" w:cs="Arial" w:eastAsia="Arial" w:hAnsi="Arial"/>
          <w:sz w:val="18"/>
          <w:szCs w:val="18"/>
          <w:b w:val="1"/>
          <w:bCs w:val="1"/>
          <w:color w:val="auto"/>
        </w:rPr>
      </w:pPr>
    </w:p>
    <w:p>
      <w:pPr>
        <w:ind w:left="572" w:hanging="572"/>
        <w:spacing w:after="0" w:line="288" w:lineRule="auto"/>
        <w:tabs>
          <w:tab w:leader="none" w:pos="57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(and the other documents referred to herein) embodies the entire agreement of the parties hereto respecting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within its scope. This Agreement supersedes all prior and contemporaneous agreements of the parties hereto that directly or indirectly bears upon the subject matter hereof and any other written or oral agreement relating to the subject matter hereof existing between the parties (including, without limitation, the Existing Agreement) is expressly canceled. The Existing Agreement is hereby amended in its entirety and restated herein. All provisions of, rights granted under and covenants made in the Existing Agreement are hereby waived, released and superseded in their entirety and shall have no further force or effect. Any prior negotiations, correspondence, agreements, proposals or understandings relating to the subject matter hereof shall be deemed to have been merged into this Agreement, and to the extent inconsistent herewith, such negotiations, correspondence, agreements, proposals, or understandings shall be deemed to be of no force or effect. There are no representations, warranties, or agreements, whether express or implied, or oral or written, with respect to the subject matter hereof, except as expressly set forth herein. Notwithstanding anything above in this Section 10 to the contrary, and for purposes of clarity, the Confidentiality Agreement, as well as the Company’s rights under any trade secret, confidentiality, inventions or similar agreement or policy, are not integrated into this Agreement and shall continue in effect.</w:t>
      </w:r>
    </w:p>
    <w:p>
      <w:pPr>
        <w:spacing w:after="0" w:line="164" w:lineRule="exact"/>
        <w:rPr>
          <w:rFonts w:ascii="Arial" w:cs="Arial" w:eastAsia="Arial" w:hAnsi="Arial"/>
          <w:sz w:val="16"/>
          <w:szCs w:val="16"/>
          <w:b w:val="1"/>
          <w:bCs w:val="1"/>
          <w:color w:val="auto"/>
        </w:rPr>
      </w:pPr>
    </w:p>
    <w:p>
      <w:pPr>
        <w:ind w:left="572" w:right="180" w:hanging="572"/>
        <w:spacing w:after="0" w:line="282" w:lineRule="auto"/>
        <w:tabs>
          <w:tab w:leader="none" w:pos="5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may not be amended, modified or changed (in whole or in part), except by a formal, definitive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referring to this Agreement, which agreement is executed by both of the parties hereto.</w:t>
      </w:r>
    </w:p>
    <w:p>
      <w:pPr>
        <w:spacing w:after="0" w:line="161" w:lineRule="exact"/>
        <w:rPr>
          <w:rFonts w:ascii="Arial" w:cs="Arial" w:eastAsia="Arial" w:hAnsi="Arial"/>
          <w:sz w:val="18"/>
          <w:szCs w:val="18"/>
          <w:b w:val="1"/>
          <w:bCs w:val="1"/>
          <w:color w:val="auto"/>
        </w:rPr>
      </w:pPr>
    </w:p>
    <w:p>
      <w:pPr>
        <w:ind w:left="572" w:right="100" w:hanging="572"/>
        <w:spacing w:after="0" w:line="282" w:lineRule="auto"/>
        <w:tabs>
          <w:tab w:leader="none" w:pos="5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 </w:t>
      </w:r>
      <w:r>
        <w:rPr>
          <w:rFonts w:ascii="Arial" w:cs="Arial" w:eastAsia="Arial" w:hAnsi="Arial"/>
          <w:sz w:val="18"/>
          <w:szCs w:val="18"/>
          <w:color w:val="auto"/>
        </w:rPr>
        <w:t>No waiver of any breach of any term or provision of this Agreement shall be construed to be, nor shall be, a waiver of any other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waiver shall be binding unless in writing and signed by the party waiving the breach.</w:t>
      </w:r>
    </w:p>
    <w:p>
      <w:pPr>
        <w:spacing w:after="0" w:line="161" w:lineRule="exact"/>
        <w:rPr>
          <w:rFonts w:ascii="Arial" w:cs="Arial" w:eastAsia="Arial" w:hAnsi="Arial"/>
          <w:sz w:val="18"/>
          <w:szCs w:val="18"/>
          <w:b w:val="1"/>
          <w:bCs w:val="1"/>
          <w:color w:val="auto"/>
        </w:rPr>
      </w:pPr>
    </w:p>
    <w:p>
      <w:pPr>
        <w:ind w:left="572" w:right="120" w:hanging="572"/>
        <w:spacing w:after="0" w:line="287" w:lineRule="auto"/>
        <w:tabs>
          <w:tab w:leader="none" w:pos="57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 </w:t>
      </w:r>
      <w:r>
        <w:rPr>
          <w:rFonts w:ascii="Arial" w:cs="Arial" w:eastAsia="Arial" w:hAnsi="Arial"/>
          <w:sz w:val="16"/>
          <w:szCs w:val="16"/>
          <w:color w:val="auto"/>
        </w:rPr>
        <w:t>The parties shall attempt in good faith to resolve all claims, disputes and other disagreements arising under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Columbia, Maryland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w:t>
      </w:r>
    </w:p>
    <w:p>
      <w:pPr>
        <w:spacing w:after="0" w:line="168" w:lineRule="exact"/>
        <w:rPr>
          <w:rFonts w:ascii="Arial" w:cs="Arial" w:eastAsia="Arial" w:hAnsi="Arial"/>
          <w:sz w:val="16"/>
          <w:szCs w:val="16"/>
          <w:b w:val="1"/>
          <w:bCs w:val="1"/>
          <w:color w:val="auto"/>
        </w:rPr>
      </w:pPr>
    </w:p>
    <w:p>
      <w:pPr>
        <w:ind w:left="572" w:hanging="572"/>
        <w:spacing w:after="0" w:line="277" w:lineRule="auto"/>
        <w:tabs>
          <w:tab w:leader="none" w:pos="572"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 </w:t>
      </w:r>
      <w:r>
        <w:rPr>
          <w:rFonts w:ascii="Arial" w:cs="Arial" w:eastAsia="Arial" w:hAnsi="Arial"/>
          <w:sz w:val="17"/>
          <w:szCs w:val="17"/>
          <w:color w:val="auto"/>
        </w:rPr>
        <w:t>Any notice provided for in this Agreement must be in writing and must be either personally delivered, transmitted via telecopier, mailed by</w:t>
      </w:r>
      <w:r>
        <w:rPr>
          <w:rFonts w:ascii="Arial" w:cs="Arial" w:eastAsia="Arial" w:hAnsi="Arial"/>
          <w:sz w:val="17"/>
          <w:szCs w:val="17"/>
          <w:b w:val="1"/>
          <w:bCs w:val="1"/>
          <w:color w:val="auto"/>
        </w:rPr>
        <w:t xml:space="preserve"> </w:t>
      </w:r>
      <w:r>
        <w:rPr>
          <w:rFonts w:ascii="Arial" w:cs="Arial" w:eastAsia="Arial" w:hAnsi="Arial"/>
          <w:sz w:val="17"/>
          <w:szCs w:val="17"/>
          <w:color w:val="auto"/>
        </w:rPr>
        <w:t>first class mail (postage prepaid and return receipt requested) or sent by reputable overnight courier service (charges prepaid) to the recipient at the address below indicated or at such other address or to the attention of such other person as the recipient party has specified by prior written notice to the sending party. Notices will be deemed to have been given hereunder and received when delivered personally, when received if transmitted via telecopier, five days after deposit in the U.S. mail and one day after deposit with a reputable overnight courier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476885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69" w:name="page70"/>
    <w:bookmarkEnd w:id="69"/>
    <w:p>
      <w:pPr>
        <w:ind w:left="1252"/>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Executive, to the address most recently on file in the payroll records of the Company.</w:t>
      </w:r>
    </w:p>
    <w:p>
      <w:pPr>
        <w:spacing w:after="0" w:line="221" w:lineRule="exact"/>
        <w:rPr>
          <w:sz w:val="20"/>
          <w:szCs w:val="20"/>
          <w:color w:val="auto"/>
        </w:rPr>
      </w:pPr>
    </w:p>
    <w:p>
      <w:pPr>
        <w:ind w:left="572" w:right="20" w:hanging="572"/>
        <w:spacing w:after="0" w:line="289" w:lineRule="auto"/>
        <w:tabs>
          <w:tab w:leader="none" w:pos="57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may be executed in any number of counterparts, each of which shall be deemed an original as against any party</w:t>
      </w:r>
      <w:r>
        <w:rPr>
          <w:rFonts w:ascii="Arial" w:cs="Arial" w:eastAsia="Arial" w:hAnsi="Arial"/>
          <w:sz w:val="16"/>
          <w:szCs w:val="16"/>
          <w:b w:val="1"/>
          <w:bCs w:val="1"/>
          <w:color w:val="auto"/>
        </w:rPr>
        <w:t xml:space="preserve"> </w:t>
      </w:r>
      <w:r>
        <w:rPr>
          <w:rFonts w:ascii="Arial" w:cs="Arial" w:eastAsia="Arial" w:hAnsi="Arial"/>
          <w:sz w:val="16"/>
          <w:szCs w:val="16"/>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w:t>
      </w:r>
    </w:p>
    <w:p>
      <w:pPr>
        <w:spacing w:after="0" w:line="1"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signatories. Photographic copies of such signed counterparts may be used in lieu of the originals for any purpose.</w:t>
      </w:r>
    </w:p>
    <w:p>
      <w:pPr>
        <w:spacing w:after="0" w:line="206" w:lineRule="exact"/>
        <w:rPr>
          <w:rFonts w:ascii="Arial" w:cs="Arial" w:eastAsia="Arial" w:hAnsi="Arial"/>
          <w:sz w:val="16"/>
          <w:szCs w:val="16"/>
          <w:b w:val="1"/>
          <w:bCs w:val="1"/>
          <w:color w:val="auto"/>
        </w:rPr>
      </w:pPr>
    </w:p>
    <w:p>
      <w:pPr>
        <w:ind w:left="572" w:hanging="572"/>
        <w:spacing w:after="0" w:line="298" w:lineRule="auto"/>
        <w:tabs>
          <w:tab w:leader="none" w:pos="572"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Legal Counsel; Mutual Drafting</w:t>
      </w:r>
      <w:r>
        <w:rPr>
          <w:rFonts w:ascii="Arial" w:cs="Arial" w:eastAsia="Arial" w:hAnsi="Arial"/>
          <w:sz w:val="16"/>
          <w:szCs w:val="16"/>
          <w:b w:val="1"/>
          <w:bCs w:val="1"/>
          <w:color w:val="auto"/>
        </w:rPr>
        <w:t xml:space="preserve"> . </w:t>
      </w:r>
      <w:r>
        <w:rPr>
          <w:rFonts w:ascii="Arial" w:cs="Arial" w:eastAsia="Arial" w:hAnsi="Arial"/>
          <w:sz w:val="16"/>
          <w:szCs w:val="16"/>
          <w:color w:val="auto"/>
        </w:rPr>
        <w:t>Each party recognizes that this is a legally binding contract and acknowledges and agrees that they have had the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consult with legal counsel of their choice. Each party has cooperated in the drafting, negotiation and preparation of this Agreement. Hence, in any construction to be made of this Agreement, the same shall not be construed against either party on the basis of that party being the drafter of such language. The Executive agrees and acknowledges that he has read and understands this Agreement, is entering into it freely and voluntarily, and has been advised to seek counsel prior to entering into this Agreement and has had ample opportunity to do so.</w:t>
      </w:r>
    </w:p>
    <w:p>
      <w:pPr>
        <w:spacing w:after="0" w:line="154" w:lineRule="exact"/>
        <w:rPr>
          <w:rFonts w:ascii="Arial" w:cs="Arial" w:eastAsia="Arial" w:hAnsi="Arial"/>
          <w:sz w:val="16"/>
          <w:szCs w:val="16"/>
          <w:b w:val="1"/>
          <w:bCs w:val="1"/>
          <w:color w:val="auto"/>
        </w:rPr>
      </w:pPr>
    </w:p>
    <w:p>
      <w:pPr>
        <w:ind w:left="572" w:hanging="572"/>
        <w:spacing w:after="0"/>
        <w:tabs>
          <w:tab w:leader="none" w:pos="57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57" w:lineRule="auto"/>
        <w:tabs>
          <w:tab w:leader="none" w:pos="13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ind w:left="652" w:right="20" w:hanging="4"/>
        <w:spacing w:after="0" w:line="271" w:lineRule="auto"/>
        <w:tabs>
          <w:tab w:leader="none" w:pos="1357"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the Executive is a “specified employee” within the meaning of Treasury Regulation Section 1.409A-1(i) as of the date of the Executive’s Separation from Service, the Executive shall not be entitled to any payment or benefit pursuant to Section 1.2(b) of this Agreement until the earlier of (i) the date which is six (6) months after his or her Separation from Service for any reason other than death, or (ii) the date of the Executive’s death. The provisions of this Section 17(b)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17(b)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78" w:lineRule="exact"/>
        <w:rPr>
          <w:rFonts w:ascii="Arial" w:cs="Arial" w:eastAsia="Arial" w:hAnsi="Arial"/>
          <w:sz w:val="17"/>
          <w:szCs w:val="17"/>
          <w:color w:val="auto"/>
        </w:rPr>
      </w:pPr>
    </w:p>
    <w:p>
      <w:pPr>
        <w:ind w:left="652" w:right="20" w:hanging="4"/>
        <w:spacing w:after="0" w:line="297" w:lineRule="auto"/>
        <w:tabs>
          <w:tab w:leader="none" w:pos="1344"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the extent that any benefits or reimbursements pursuant to Section 1.2(b)(ii) or Section 1.2(b)(iii) of this Agreement are taxable to the Executive, any reimbursement payment due to the Executive pursuant to such provisions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467360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70" w:name="page71"/>
    <w:bookmarkEnd w:id="70"/>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 the Company and the Executive have executed this Amended and Restated Change in Control Severance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H. Tardugno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&amp;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Nicolas Borys</w:t>
      </w:r>
    </w:p>
    <w:p>
      <w:pPr>
        <w:sectPr>
          <w:pgSz w:w="11900" w:h="16838" w:orient="portrait"/>
          <w:cols w:equalWidth="0" w:num="1">
            <w:col w:w="11240"/>
          </w:cols>
          <w:pgMar w:left="240" w:top="580" w:right="419" w:bottom="1440" w:gutter="0" w:footer="0" w:header="0"/>
        </w:sectPr>
      </w:pPr>
    </w:p>
    <w:bookmarkStart w:id="71" w:name="page72"/>
    <w:bookmarkEnd w:id="71"/>
    <w:p>
      <w:pPr>
        <w:ind w:left="10440"/>
        <w:spacing w:after="0"/>
        <w:rPr>
          <w:sz w:val="20"/>
          <w:szCs w:val="20"/>
          <w:color w:val="auto"/>
        </w:rPr>
      </w:pPr>
      <w:r>
        <w:rPr>
          <w:rFonts w:ascii="Arial" w:cs="Arial" w:eastAsia="Arial" w:hAnsi="Arial"/>
          <w:sz w:val="17"/>
          <w:szCs w:val="17"/>
          <w:b w:val="1"/>
          <w:bCs w:val="1"/>
          <w:color w:val="auto"/>
        </w:rPr>
        <w:t>Exhibit 10.3</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AMENDED AND RESTATED CHANGE IN CONTROL SEVERANCE AGREEMENT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THIS AMENDED AND RESTATED CHANGE IN CONTROL SEVERANCE AGREEMENT </w:t>
      </w:r>
      <w:r>
        <w:rPr>
          <w:rFonts w:ascii="Arial" w:cs="Arial" w:eastAsia="Arial" w:hAnsi="Arial"/>
          <w:sz w:val="18"/>
          <w:szCs w:val="18"/>
          <w:color w:val="auto"/>
        </w:rPr>
        <w:t>(this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is made and entered into this 6th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of September 2016 (the “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by and between Celsion Corporation,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and </w:t>
      </w:r>
      <w:r>
        <w:rPr>
          <w:rFonts w:ascii="Arial" w:cs="Arial" w:eastAsia="Arial" w:hAnsi="Arial"/>
          <w:sz w:val="18"/>
          <w:szCs w:val="18"/>
          <w:b w:val="1"/>
          <w:bCs w:val="1"/>
          <w:color w:val="auto"/>
        </w:rPr>
        <w:t>Jeffrey Church</w:t>
      </w:r>
      <w:r>
        <w:rPr>
          <w:rFonts w:ascii="Arial" w:cs="Arial" w:eastAsia="Arial" w:hAnsi="Arial"/>
          <w:sz w:val="18"/>
          <w:szCs w:val="18"/>
          <w:color w:val="auto"/>
        </w:rPr>
        <w:t xml:space="preserve"> (the “ </w:t>
      </w: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are parties to that certain dated as of November 29, 2011 (the “Existing Agreement”);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Existing Agreement in its entirety as set forth in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ENTER THIS AGREEMENT </w:t>
      </w:r>
      <w:r>
        <w:rPr>
          <w:rFonts w:ascii="Arial" w:cs="Arial" w:eastAsia="Arial" w:hAnsi="Arial"/>
          <w:sz w:val="18"/>
          <w:szCs w:val="18"/>
          <w:color w:val="auto"/>
        </w:rPr>
        <w:t>on the basis of the following facts, understandings and intentions:</w:t>
      </w:r>
    </w:p>
    <w:p>
      <w:pPr>
        <w:spacing w:after="0" w:line="229" w:lineRule="exact"/>
        <w:rPr>
          <w:sz w:val="20"/>
          <w:szCs w:val="20"/>
          <w:color w:val="auto"/>
        </w:rPr>
      </w:pPr>
    </w:p>
    <w:p>
      <w:pPr>
        <w:ind w:left="1320" w:hanging="664"/>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Executive is a key executive of the Company.</w:t>
      </w:r>
    </w:p>
    <w:p>
      <w:pPr>
        <w:spacing w:after="0" w:line="225" w:lineRule="exact"/>
        <w:rPr>
          <w:rFonts w:ascii="Arial" w:cs="Arial" w:eastAsia="Arial" w:hAnsi="Arial"/>
          <w:sz w:val="18"/>
          <w:szCs w:val="18"/>
          <w:color w:val="auto"/>
        </w:rPr>
      </w:pPr>
    </w:p>
    <w:p>
      <w:pPr>
        <w:jc w:val="both"/>
        <w:ind w:left="660" w:right="20" w:hanging="4"/>
        <w:spacing w:after="0" w:line="279" w:lineRule="auto"/>
        <w:tabs>
          <w:tab w:leader="none" w:pos="136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Should the possibility of a Change in Control arise, the Board of Directors of the Company (the “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 believes it is imperative that the Company and the Board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71" w:lineRule="exact"/>
        <w:rPr>
          <w:rFonts w:ascii="Arial" w:cs="Arial" w:eastAsia="Arial" w:hAnsi="Arial"/>
          <w:sz w:val="17"/>
          <w:szCs w:val="17"/>
          <w:color w:val="auto"/>
        </w:rPr>
      </w:pPr>
    </w:p>
    <w:p>
      <w:pPr>
        <w:ind w:left="660" w:right="300" w:hanging="4"/>
        <w:spacing w:after="0" w:line="264" w:lineRule="auto"/>
        <w:tabs>
          <w:tab w:leader="none" w:pos="13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(the “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 has approved the Company entering into a change in control severance agreement with the Executive to help mitigate the uncertainties and risks to the Executive should the possibility of a Change in Control arise.</w:t>
      </w:r>
    </w:p>
    <w:p>
      <w:pPr>
        <w:spacing w:after="0" w:line="181" w:lineRule="exact"/>
        <w:rPr>
          <w:rFonts w:ascii="Arial" w:cs="Arial" w:eastAsia="Arial" w:hAnsi="Arial"/>
          <w:sz w:val="18"/>
          <w:szCs w:val="18"/>
          <w:color w:val="auto"/>
        </w:rPr>
      </w:pPr>
    </w:p>
    <w:p>
      <w:pPr>
        <w:ind w:left="660" w:right="60" w:hanging="4"/>
        <w:spacing w:after="0" w:line="264" w:lineRule="auto"/>
        <w:tabs>
          <w:tab w:leader="none" w:pos="132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Agreement provides the benefits the Executive will be entitled to receive upon certain terminations of employment in connection with a Change in Control from and after the Effective Date and supersedes and negates all previous agreements with respect to such benefits except as expressly provided herein.</w:t>
      </w:r>
    </w:p>
    <w:p>
      <w:pPr>
        <w:spacing w:after="0" w:line="17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AGREEMENT</w:t>
      </w:r>
    </w:p>
    <w:p>
      <w:pPr>
        <w:spacing w:after="0" w:line="27" w:lineRule="exact"/>
        <w:rPr>
          <w:sz w:val="20"/>
          <w:szCs w:val="20"/>
          <w:color w:val="auto"/>
        </w:rPr>
      </w:pPr>
    </w:p>
    <w:p>
      <w:pPr>
        <w:ind w:right="220" w:firstLine="45"/>
        <w:spacing w:after="0" w:line="29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 in consideration of the above recitals incorporated herein and the mutual covenants and promises contained herein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expressly acknowledged, the parties agree as follows:</w:t>
      </w:r>
    </w:p>
    <w:p>
      <w:pPr>
        <w:spacing w:after="0" w:line="158" w:lineRule="exact"/>
        <w:rPr>
          <w:sz w:val="20"/>
          <w:szCs w:val="20"/>
          <w:color w:val="auto"/>
        </w:rPr>
      </w:pPr>
    </w:p>
    <w:p>
      <w:pPr>
        <w:ind w:left="720" w:hanging="712"/>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260" w:right="20" w:hanging="566"/>
        <w:spacing w:after="0" w:line="291" w:lineRule="auto"/>
        <w:tabs>
          <w:tab w:leader="none" w:pos="12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 xml:space="preserve">Termination Outside of Change in Control Context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at any time prior to the date of a Change in Control or any time after the date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that is two (2) years after a Change in Control, the Executive’s employment with the Company is terminated for any reason by the Company or by the Executive (in any case, the date that the Executive’s employment with the Company terminates is referred to as the “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 the Executive shall not be entitled to any payments or benefits under this Agreement. The Executive’s rights (if any) to receive any payments or benefits in connection with such termination shall be determined under any employment agreement, offer letter or similar agreement between the Executive and the Company then in effect (an “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 or any other Company agreement, plan or policy then in effect under which the Executive would be entitled to severance benefits in connection with such a termination of employment (any such agreement (including an Employment Agreement), plan or policy, a “ </w:t>
      </w:r>
      <w:r>
        <w:rPr>
          <w:rFonts w:ascii="Arial" w:cs="Arial" w:eastAsia="Arial" w:hAnsi="Arial"/>
          <w:sz w:val="16"/>
          <w:szCs w:val="16"/>
          <w:u w:val="single" w:color="auto"/>
          <w:color w:val="auto"/>
        </w:rPr>
        <w:t>Severance Arrangement</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ind w:left="60" w:right="60" w:hanging="566"/>
        <w:spacing w:after="0" w:line="281" w:lineRule="auto"/>
        <w:tabs>
          <w:tab w:leader="none" w:pos="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 xml:space="preserve">Termination in Connection with a Change in Control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at any time during the period commencing on the date of a Change in Control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and ending two (2) years after the Change in Control, the Executive’s employment with the Company is terminated for any reason by the Company or by the Executive, the Company shall have no further obligation to make or provide to the Executive, and the Executive shall have no further right to receive or obtain from the Company, any payments or benefits except as follows:</w:t>
      </w:r>
    </w:p>
    <w:p>
      <w:pPr>
        <w:spacing w:after="0" w:line="169" w:lineRule="exact"/>
        <w:rPr>
          <w:sz w:val="20"/>
          <w:szCs w:val="20"/>
          <w:color w:val="auto"/>
        </w:rPr>
      </w:pPr>
    </w:p>
    <w:p>
      <w:pPr>
        <w:ind w:left="800" w:hanging="695"/>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pay the Executive (or, in the event of his death, the Executive’s estate) any Accrued Obligations;</w:t>
      </w:r>
    </w:p>
    <w:p>
      <w:pPr>
        <w:spacing w:after="0" w:line="225" w:lineRule="exact"/>
        <w:rPr>
          <w:rFonts w:ascii="Arial" w:cs="Arial" w:eastAsia="Arial" w:hAnsi="Arial"/>
          <w:sz w:val="18"/>
          <w:szCs w:val="18"/>
          <w:color w:val="auto"/>
        </w:rPr>
      </w:pPr>
    </w:p>
    <w:p>
      <w:pPr>
        <w:jc w:val="both"/>
        <w:ind w:left="100" w:right="320" w:firstLine="5"/>
        <w:spacing w:after="0" w:line="264" w:lineRule="auto"/>
        <w:tabs>
          <w:tab w:leader="none" w:pos="8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such a termination of the Executive’s employment with the Company constitutes an Involuntary Termination, the Executive shall be entitled to the following benefits (in addition to the Accrued Obligations and any payments or benefits payable to the Executive pursuant to any Severance Arrangement):</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 shall pay the Executive, subject to tax withholding and other authorized deductions, an amount equal to</w:t>
      </w:r>
    </w:p>
    <w:p>
      <w:pPr>
        <w:spacing w:after="0" w:line="46" w:lineRule="exact"/>
        <w:rPr>
          <w:rFonts w:ascii="Arial" w:cs="Arial" w:eastAsia="Arial" w:hAnsi="Arial"/>
          <w:sz w:val="16"/>
          <w:szCs w:val="16"/>
          <w:color w:val="auto"/>
        </w:rPr>
      </w:pPr>
    </w:p>
    <w:p>
      <w:pPr>
        <w:ind w:left="760" w:right="20" w:hanging="7"/>
        <w:spacing w:after="0" w:line="253" w:lineRule="auto"/>
        <w:tabs>
          <w:tab w:leader="none" w:pos="101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two (2), times (y) the sum of (1) the Executive’s base salary at the annualized rate in effect on the Severance Date plus (2) the Executive’s target annual bonus for the Company’s fiscal year in which the Severance Date occurs. Such amount is referred to hereinafter as the “</w:t>
      </w:r>
      <w:r>
        <w:rPr>
          <w:rFonts w:ascii="Arial" w:cs="Arial" w:eastAsia="Arial" w:hAnsi="Arial"/>
          <w:sz w:val="18"/>
          <w:szCs w:val="18"/>
          <w:u w:val="single" w:color="auto"/>
          <w:color w:val="auto"/>
        </w:rPr>
        <w:t>Severance Benefit”</w:t>
      </w:r>
      <w:r>
        <w:rPr>
          <w:rFonts w:ascii="Arial" w:cs="Arial" w:eastAsia="Arial" w:hAnsi="Arial"/>
          <w:sz w:val="18"/>
          <w:szCs w:val="18"/>
          <w:color w:val="auto"/>
        </w:rPr>
        <w:t>. Subject to Section 17(b), the Company shall pay the Severance Benefit to the Executive in a lump sum in the month following the month in which the Executive’s Separation from Service (as such term is defined in Section 2) occurs.</w:t>
      </w:r>
    </w:p>
    <w:p>
      <w:pPr>
        <w:spacing w:after="0" w:line="191" w:lineRule="exact"/>
        <w:rPr>
          <w:rFonts w:ascii="Arial" w:cs="Arial" w:eastAsia="Arial" w:hAnsi="Arial"/>
          <w:sz w:val="18"/>
          <w:szCs w:val="18"/>
          <w:color w:val="auto"/>
        </w:rPr>
      </w:pPr>
    </w:p>
    <w:p>
      <w:pPr>
        <w:ind w:left="760" w:hanging="7"/>
        <w:spacing w:after="0" w:line="287" w:lineRule="auto"/>
        <w:tabs>
          <w:tab w:leader="none" w:pos="1472"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The Company will pay or reimburse the Executive for his premiums charged to continue medical coverage pursuant to the Consolidated Omnibus Budget Reconciliation Act (“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 at the same or reasonably equivalent medical coverage for the Executive (and, if applicable, the Executive’s eligible dependents) as in effect immediately prior to the Severance Date, to the extent that the Executive elects such continued coverage; provided that the Company’s obligation to make any payment or reimbursement pursuant to this clause (ii) shall, subject to Section 17(b), commence with continuation coverage for the month following the month in which the Executive’s Separation from Service occurs and shall cease with continuation coverage for the twenty fourth (24 th ) month following the month in which the Executive’s Separation from Service occurs (or, if earlier, shall cease upon the first to occur of the Executive’s death, the date the Executive becomes eligible for coverage under the health plan of a future employer, or the date the Company ceases to offer group medical coverage to its active executive employees or the Company is otherwise under no obligation to offer COBRA continuation coverage to the Executive). To the extent the Executive elects COBRA coverage, he shall notify the Company in writing of such election prior to such coverage taking effect and complete any other continuation coverage enrollment procedures the Company may then have in place.</w:t>
      </w:r>
    </w:p>
    <w:p>
      <w:pPr>
        <w:spacing w:after="0" w:line="168" w:lineRule="exact"/>
        <w:rPr>
          <w:rFonts w:ascii="Arial" w:cs="Arial" w:eastAsia="Arial" w:hAnsi="Arial"/>
          <w:sz w:val="16"/>
          <w:szCs w:val="16"/>
          <w:color w:val="auto"/>
        </w:rPr>
      </w:pPr>
    </w:p>
    <w:p>
      <w:pPr>
        <w:ind w:left="760" w:right="140" w:firstLine="33"/>
        <w:spacing w:after="0" w:line="259" w:lineRule="auto"/>
        <w:tabs>
          <w:tab w:leader="none" w:pos="1517"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Company will pay or reimburse the Executive for his premiums charged to continue term life insurance coverage provided by the Company for the Executive (and, if applicable, the Executive’s eligible dependents), on the terms and at the coverage levels in effect on the Severance Date, for a period of twenty fourth (24) months commencing with the month following the month in which the Executive’s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485775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73" w:name="page74"/>
    <w:bookmarkEnd w:id="73"/>
    <w:p>
      <w:pPr>
        <w:ind w:left="1260" w:hanging="7"/>
        <w:spacing w:after="0" w:line="285" w:lineRule="auto"/>
        <w:tabs>
          <w:tab w:leader="none" w:pos="197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Each option and other equity-based award granted by the Company to the Executive, to the extent outstanding and unvested on the Severance Date, shall accelerate and be fully vested as of the Severance Date; provided, however, that, as to any such equity award that is subject to performance-based vesting requirements, the vesting of such award will continue to be governed by its terms, except that any service-based vesting requirement applicable to such award will be deemed to be fully satisfied as of the Severance Date. Each such award that is an option or similar award, to the extent outstanding and vested on the Severance Date (after giving effect to the foregoing acceleration provision), shall be exercisable after the Severance Date as follows: (x) to the extent such option or award was outstanding and vested on the date of the Change in Control, such option or award shall remain exercisable for the remainder of the original maximum term of such option or award, and (y) to the extent such option or award was unvested on the date of the Change in Control and vested at any time after the Change in Control and on or before the Severance Date (including any such option or award that vested pursuant to the foregoing acceleration provision), such option or award shall remain exercisable until the first to occur of (A) the last day of the original maximum term of such option or award, or (B) the date that is twenty fourth (24) months after the last day such option or award would have been exercisable in accordance with its terms following such a termination of the Executive’s employment. Notwithstanding the preceding sentence, any such option or award shall be subject to earlier termination in connection with a change in control of the Company and similar events as provided in the applicable plan and/or award agreement (provided that the Executive is given a reasonable opportunity to exercise such vested option or award prior to its termination.)</w:t>
      </w:r>
    </w:p>
    <w:p>
      <w:pPr>
        <w:spacing w:after="0" w:line="177" w:lineRule="exact"/>
        <w:rPr>
          <w:rFonts w:ascii="Arial" w:cs="Arial" w:eastAsia="Arial" w:hAnsi="Arial"/>
          <w:sz w:val="16"/>
          <w:szCs w:val="16"/>
          <w:color w:val="auto"/>
        </w:rPr>
      </w:pPr>
    </w:p>
    <w:p>
      <w:pPr>
        <w:ind w:left="600" w:firstLine="5"/>
        <w:spacing w:after="0" w:line="257" w:lineRule="auto"/>
        <w:tabs>
          <w:tab w:leader="none" w:pos="12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foregoing provisions of this Section 1.2 shall not affect: (i) the Executive’s receipt of benefits otherwise due terminated employees under group insurance coverage consistent with the terms of the applicable Company welfare benefit plan; (ii) the Executive’s rights under COBRA to continue participation in medical, dental, hospitalization and life insurance coverage; or (iii) the Executive’s receipt of benefits otherwise due in accordance with the terms of the Company’s 401(k) plan (if any) and any vested Company equity or incentive awards in accordance with the terms and conditions of such awards.</w:t>
      </w:r>
    </w:p>
    <w:p>
      <w:pPr>
        <w:spacing w:after="0" w:line="188" w:lineRule="exact"/>
        <w:rPr>
          <w:rFonts w:ascii="Arial" w:cs="Arial" w:eastAsia="Arial" w:hAnsi="Arial"/>
          <w:sz w:val="18"/>
          <w:szCs w:val="18"/>
          <w:color w:val="auto"/>
        </w:rPr>
      </w:pPr>
    </w:p>
    <w:p>
      <w:pPr>
        <w:ind w:left="600" w:right="80" w:firstLine="5"/>
        <w:spacing w:after="0" w:line="264" w:lineRule="auto"/>
        <w:tabs>
          <w:tab w:leader="none" w:pos="1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For avoidance of doubt, if the Executive is entitled to receive severance benefits in connection with a termination of employment under both this Agreement and any Severance Arrangement, the Executive shall be entitled to receive both the benefits provided in this Agreement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benefits provided in such Severance Arrangement.</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 xml:space="preserve">Release; No Duty to Mitigate </w:t>
      </w:r>
      <w:r>
        <w:rPr>
          <w:rFonts w:ascii="Arial" w:cs="Arial" w:eastAsia="Arial" w:hAnsi="Arial"/>
          <w:sz w:val="16"/>
          <w:szCs w:val="16"/>
          <w:b w:val="1"/>
          <w:bCs w:val="1"/>
          <w:color w:val="auto"/>
        </w:rPr>
        <w:t>.</w:t>
      </w:r>
    </w:p>
    <w:p>
      <w:pPr>
        <w:spacing w:after="0" w:line="229" w:lineRule="exact"/>
        <w:rPr>
          <w:sz w:val="20"/>
          <w:szCs w:val="20"/>
          <w:color w:val="auto"/>
        </w:rPr>
      </w:pPr>
    </w:p>
    <w:p>
      <w:pPr>
        <w:ind w:left="600" w:firstLine="5"/>
        <w:spacing w:after="0" w:line="255" w:lineRule="auto"/>
        <w:tabs>
          <w:tab w:leader="none" w:pos="1291"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This Section 1.3 shall apply notwithstanding anything else contained in this Agreement to the contrary. As a condition precedent to any Company obligation to the Executive pursuant to Section 1.2(b), the Executive shall, upon or promptly following his last day of employment with the Company (and in all events within twenty-one (21) days after his last day of employment with the Company), provide the Company with a valid, executed Release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as the Company may determine to be required or reasonably advisable in order to make the release enforceable and otherwise compliant with applicable laws), and such Release Agreement shall have not been revoked by the Executive pursuant to any revocation rights afforded by applicable law.</w:t>
      </w:r>
    </w:p>
    <w:p>
      <w:pPr>
        <w:spacing w:after="0" w:line="189" w:lineRule="exact"/>
        <w:rPr>
          <w:rFonts w:ascii="Arial" w:cs="Arial" w:eastAsia="Arial" w:hAnsi="Arial"/>
          <w:sz w:val="18"/>
          <w:szCs w:val="18"/>
          <w:color w:val="auto"/>
        </w:rPr>
      </w:pPr>
    </w:p>
    <w:p>
      <w:pPr>
        <w:ind w:left="600" w:right="40" w:firstLine="5"/>
        <w:spacing w:after="0" w:line="273" w:lineRule="auto"/>
        <w:tabs>
          <w:tab w:leader="none" w:pos="130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and the Executive acknowledge and agree that there is no duty of the Executive to mitigate damages under this Agreement. All amounts paid to the Executive pursuant to Section 1.2 shall be paid without regard to whether the Executive has taken or takes actions to mitigate damages. The Executive agrees to resign, on the Severance Date, from the Company and any affiliate of the Company, as an officer and director of the Company, and as a fiduciary of any benefit plan of the Company or any affiliate of the Company (in each case, to the extent the Executive then has any such position), and to promptly execute and provide to the Company any further documentation, as requested by the Company, to confirm such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480695</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80"/>
          </w:cols>
          <w:pgMar w:left="940" w:top="584" w:right="279" w:bottom="1440" w:gutter="0" w:footer="0" w:header="0"/>
        </w:sectPr>
      </w:pPr>
    </w:p>
    <w:bookmarkStart w:id="74" w:name="page75"/>
    <w:bookmarkEnd w:id="74"/>
    <w:p>
      <w:pPr>
        <w:ind w:left="572" w:hanging="572"/>
        <w:spacing w:after="0"/>
        <w:tabs>
          <w:tab w:leader="none" w:pos="57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 As used herein, the following terms shall have the meanings set forth below in this Section 2.</w:t>
      </w:r>
    </w:p>
    <w:p>
      <w:pPr>
        <w:spacing w:after="0" w:line="229" w:lineRule="exact"/>
        <w:rPr>
          <w:rFonts w:ascii="Arial" w:cs="Arial" w:eastAsia="Arial" w:hAnsi="Arial"/>
          <w:sz w:val="18"/>
          <w:szCs w:val="18"/>
          <w:b w:val="1"/>
          <w:bCs w:val="1"/>
          <w:color w:val="auto"/>
        </w:rPr>
      </w:pPr>
    </w:p>
    <w:p>
      <w:pPr>
        <w:ind w:left="652" w:right="60" w:hanging="4"/>
        <w:spacing w:after="0" w:line="276" w:lineRule="auto"/>
        <w:tabs>
          <w:tab w:leader="none" w:pos="1347"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means (i) any base salary of the Executive that had accrued but had not been paid (including accrued and unpaid vacation time) on or before the Severance Date; (ii) any annual bonus payable to the Executive (to the extent not previously paid) with respect to the fiscal year of the Company prior to the fiscal year in which the Severance Date occurs; and (iii) any reimbursement due to the Executive for expenses reasonably incurred by the Executive on or before the Severance Date and documented and pre-approved, to the extent applicable, in accordance with the Company’s expense reimbursement policies in effect at the applicable time.</w:t>
      </w:r>
    </w:p>
    <w:p>
      <w:pPr>
        <w:spacing w:after="0" w:line="172" w:lineRule="exact"/>
        <w:rPr>
          <w:rFonts w:ascii="Arial" w:cs="Arial" w:eastAsia="Arial" w:hAnsi="Arial"/>
          <w:sz w:val="17"/>
          <w:szCs w:val="17"/>
          <w:color w:val="auto"/>
        </w:rPr>
      </w:pPr>
    </w:p>
    <w:p>
      <w:pPr>
        <w:jc w:val="both"/>
        <w:ind w:left="652" w:right="40" w:hanging="4"/>
        <w:spacing w:after="0" w:line="259" w:lineRule="auto"/>
        <w:tabs>
          <w:tab w:leader="none" w:pos="13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“Cause” shall mean, as reasonably determined by the Board (excluding the Executive, if he is then a member of the Board) based on the information then known to it, that one or more of the following has occurred:</w:t>
      </w:r>
    </w:p>
    <w:p>
      <w:pPr>
        <w:spacing w:after="0" w:line="186" w:lineRule="exact"/>
        <w:rPr>
          <w:rFonts w:ascii="Arial" w:cs="Arial" w:eastAsia="Arial" w:hAnsi="Arial"/>
          <w:sz w:val="18"/>
          <w:szCs w:val="18"/>
          <w:color w:val="auto"/>
        </w:rPr>
      </w:pPr>
    </w:p>
    <w:p>
      <w:pPr>
        <w:ind w:left="1292" w:right="160" w:firstLine="5"/>
        <w:spacing w:after="0" w:line="277" w:lineRule="auto"/>
        <w:tabs>
          <w:tab w:leader="none" w:pos="195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Executive is convicted of, pled guilty or pled nolo contendere to a felony (under the laws of the United States or any relevant state, or a similar crime or offense under the applicable laws of any relevant foreign jurisdiction);</w:t>
      </w:r>
    </w:p>
    <w:p>
      <w:pPr>
        <w:spacing w:after="0" w:line="170" w:lineRule="exact"/>
        <w:rPr>
          <w:rFonts w:ascii="Arial" w:cs="Arial" w:eastAsia="Arial" w:hAnsi="Arial"/>
          <w:sz w:val="18"/>
          <w:szCs w:val="18"/>
          <w:color w:val="auto"/>
        </w:rPr>
      </w:pPr>
    </w:p>
    <w:p>
      <w:pPr>
        <w:ind w:left="1292" w:right="300" w:firstLine="5"/>
        <w:spacing w:after="0" w:line="277" w:lineRule="auto"/>
        <w:tabs>
          <w:tab w:leader="none" w:pos="200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Executive has engaged in acts of fraud, dishonesty or other acts of willful misconduct in the course of his duties hereunder that are materially and demonstrably injurious to the Company or any of its Subsidiaries;</w:t>
      </w:r>
    </w:p>
    <w:p>
      <w:pPr>
        <w:spacing w:after="0" w:line="170" w:lineRule="exact"/>
        <w:rPr>
          <w:rFonts w:ascii="Arial" w:cs="Arial" w:eastAsia="Arial" w:hAnsi="Arial"/>
          <w:sz w:val="18"/>
          <w:szCs w:val="18"/>
          <w:color w:val="auto"/>
        </w:rPr>
      </w:pPr>
    </w:p>
    <w:p>
      <w:pPr>
        <w:ind w:left="1292" w:firstLine="5"/>
        <w:spacing w:after="0" w:line="264" w:lineRule="auto"/>
        <w:tabs>
          <w:tab w:leader="none" w:pos="2012"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Executive willfully fails to perform or uphold his duties to the Company or any of its Subsidiaries and/or willfully fails to comply with reasonable directives of the Board and/or engages in manifestly unethical behavior that is materially injurious to the Company; or</w:t>
      </w:r>
    </w:p>
    <w:p>
      <w:pPr>
        <w:spacing w:after="0" w:line="181" w:lineRule="exact"/>
        <w:rPr>
          <w:rFonts w:ascii="Arial" w:cs="Arial" w:eastAsia="Arial" w:hAnsi="Arial"/>
          <w:sz w:val="18"/>
          <w:szCs w:val="18"/>
          <w:color w:val="auto"/>
        </w:rPr>
      </w:pPr>
    </w:p>
    <w:p>
      <w:pPr>
        <w:ind w:left="1292" w:right="200" w:firstLine="5"/>
        <w:spacing w:after="0" w:line="277" w:lineRule="auto"/>
        <w:tabs>
          <w:tab w:leader="none" w:pos="2002" w:val="left"/>
        </w:tabs>
        <w:numPr>
          <w:ilvl w:val="2"/>
          <w:numId w:val="74"/>
        </w:numPr>
        <w:rPr>
          <w:rFonts w:ascii="Arial" w:cs="Arial" w:eastAsia="Arial" w:hAnsi="Arial"/>
          <w:sz w:val="18"/>
          <w:szCs w:val="18"/>
          <w:color w:val="auto"/>
        </w:rPr>
      </w:pPr>
      <w:r>
        <w:rPr>
          <w:rFonts w:ascii="Arial" w:cs="Arial" w:eastAsia="Arial" w:hAnsi="Arial"/>
          <w:sz w:val="18"/>
          <w:szCs w:val="18"/>
          <w:color w:val="auto"/>
        </w:rPr>
        <w:t>a material breach by the Executive of this Agreement, the Confidentiality Agreement, or any other contract he is a party to with the Company or any of its Subsidiaries;</w:t>
      </w:r>
    </w:p>
    <w:p>
      <w:pPr>
        <w:spacing w:after="0" w:line="170" w:lineRule="exact"/>
        <w:rPr>
          <w:sz w:val="20"/>
          <w:szCs w:val="20"/>
          <w:color w:val="auto"/>
        </w:rPr>
      </w:pPr>
    </w:p>
    <w:p>
      <w:pPr>
        <w:ind w:left="652" w:right="80"/>
        <w:spacing w:after="0" w:line="302" w:lineRule="auto"/>
        <w:rPr>
          <w:sz w:val="20"/>
          <w:szCs w:val="20"/>
          <w:color w:val="auto"/>
        </w:rPr>
      </w:pPr>
      <w:r>
        <w:rPr>
          <w:rFonts w:ascii="Arial" w:cs="Arial" w:eastAsia="Arial" w:hAnsi="Arial"/>
          <w:sz w:val="16"/>
          <w:szCs w:val="16"/>
          <w:color w:val="auto"/>
        </w:rPr>
        <w:t>provided, however, that the Executive shall be provided with notice of any conduct claimed to constitute Cause and a reasonable opportunity of not less than thirty (30) days to cure such conduct (to the extent such conduct is reasonably capable of cure in the circumstances); and provided, further, that for purposes of this definition,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154" w:lineRule="exact"/>
        <w:rPr>
          <w:sz w:val="20"/>
          <w:szCs w:val="20"/>
          <w:color w:val="auto"/>
        </w:rPr>
      </w:pPr>
    </w:p>
    <w:p>
      <w:pPr>
        <w:ind w:left="1352" w:hanging="704"/>
        <w:spacing w:after="0"/>
        <w:tabs>
          <w:tab w:leader="none" w:pos="13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means the occurrence of any of the following events:</w:t>
      </w:r>
    </w:p>
    <w:p>
      <w:pPr>
        <w:spacing w:after="0" w:line="225" w:lineRule="exact"/>
        <w:rPr>
          <w:rFonts w:ascii="Arial" w:cs="Arial" w:eastAsia="Arial" w:hAnsi="Arial"/>
          <w:sz w:val="18"/>
          <w:szCs w:val="18"/>
          <w:color w:val="auto"/>
        </w:rPr>
      </w:pPr>
    </w:p>
    <w:p>
      <w:pPr>
        <w:ind w:left="1292" w:right="120" w:firstLine="5"/>
        <w:spacing w:after="0" w:line="257" w:lineRule="auto"/>
        <w:tabs>
          <w:tab w:leader="none" w:pos="19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Any Person (as such term is used in Sections 13(d) and 14(d) of the Exchange Act), other than the Company, its Subsidiaries or any Company employee benefit plan (including any trustee of such plan acting as trustee), is or becomes the Beneficial Owner (as such term is defined for purposes of Rule 13d-3 under the Exchange Act), directly or indirectly, of securities of the Company representing more than thirty percent (30%) of the combined voting power of the then outstanding securities entitled to vote generally in the election of directors (“ </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of the Company; or</w:t>
      </w:r>
    </w:p>
    <w:p>
      <w:pPr>
        <w:spacing w:after="0" w:line="188" w:lineRule="exact"/>
        <w:rPr>
          <w:rFonts w:ascii="Arial" w:cs="Arial" w:eastAsia="Arial" w:hAnsi="Arial"/>
          <w:sz w:val="18"/>
          <w:szCs w:val="18"/>
          <w:color w:val="auto"/>
        </w:rPr>
      </w:pPr>
    </w:p>
    <w:p>
      <w:pPr>
        <w:ind w:left="1292" w:right="40" w:firstLine="5"/>
        <w:spacing w:after="0" w:line="257" w:lineRule="auto"/>
        <w:tabs>
          <w:tab w:leader="none" w:pos="2007"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Individuals who constitute the Board of the Company (the “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75" w:name="page76"/>
    <w:bookmarkEnd w:id="75"/>
    <w:p>
      <w:pPr>
        <w:ind w:left="644" w:right="80" w:firstLine="5"/>
        <w:spacing w:after="0" w:line="255" w:lineRule="auto"/>
        <w:tabs>
          <w:tab w:leader="none" w:pos="1409"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Consummation by the Company of a recapitalization, reorganization, merger, consolidation or other similar transaction (a “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 with respect to which all or substantially all of the individuals and entities who were the beneficial owners of the Voting Securities immediately prior such Business Combination (the “ </w:t>
      </w:r>
      <w:r>
        <w:rPr>
          <w:rFonts w:ascii="Arial" w:cs="Arial" w:eastAsia="Arial" w:hAnsi="Arial"/>
          <w:sz w:val="18"/>
          <w:szCs w:val="18"/>
          <w:u w:val="single" w:color="auto"/>
          <w:color w:val="auto"/>
        </w:rPr>
        <w:t>Incumbent Shareholders</w:t>
      </w:r>
      <w:r>
        <w:rPr>
          <w:rFonts w:ascii="Arial" w:cs="Arial" w:eastAsia="Arial" w:hAnsi="Arial"/>
          <w:sz w:val="18"/>
          <w:szCs w:val="18"/>
          <w:color w:val="auto"/>
        </w:rPr>
        <w:t xml:space="preserve"> ”)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 in substantially the same proportion as their ownership of such Voting Securities immediately prior to such Business Combination; or</w:t>
      </w:r>
    </w:p>
    <w:p>
      <w:pPr>
        <w:spacing w:after="0" w:line="189" w:lineRule="exact"/>
        <w:rPr>
          <w:rFonts w:ascii="Arial" w:cs="Arial" w:eastAsia="Arial" w:hAnsi="Arial"/>
          <w:sz w:val="18"/>
          <w:szCs w:val="18"/>
          <w:color w:val="auto"/>
        </w:rPr>
      </w:pPr>
    </w:p>
    <w:p>
      <w:pPr>
        <w:ind w:left="644" w:firstLine="5"/>
        <w:spacing w:after="0" w:line="257" w:lineRule="auto"/>
        <w:tabs>
          <w:tab w:leader="none" w:pos="1354"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8"/>
          <w:szCs w:val="18"/>
          <w:color w:val="auto"/>
        </w:rPr>
        <w:t xml:space="preserve">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 </w:t>
      </w: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w:t>
      </w:r>
    </w:p>
    <w:p>
      <w:pPr>
        <w:spacing w:after="0" w:line="181"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Only the first Change in Control that occurs after the Effective Date shall be considered a Change in Control for purposes of this Agreement; any transaction or occurrence after the first Change in Control that would otherwise constitute such a Change in Control shall not constitute a Change in Control for purposes of this Agreement.</w:t>
      </w:r>
    </w:p>
    <w:p>
      <w:pPr>
        <w:spacing w:after="0" w:line="181" w:lineRule="exact"/>
        <w:rPr>
          <w:sz w:val="20"/>
          <w:szCs w:val="20"/>
          <w:color w:val="auto"/>
        </w:rPr>
      </w:pPr>
    </w:p>
    <w:p>
      <w:pPr>
        <w:ind w:left="4" w:right="100" w:hanging="4"/>
        <w:spacing w:after="0" w:line="276" w:lineRule="auto"/>
        <w:tabs>
          <w:tab w:leader="none" w:pos="709"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 has the meaning ascribed to such term (or similar term) in the Employment Agreement or, if there is no Employment Agreement then in effect or if such agreement does not include a definition of such term (or similar term), “Disability” means a physical or mental impairment which, as reasonably determined by the Board, renders the Executive unable to perform the essential functions of his employment with the Company, even with reasonable accommodation that does not impose an undue hardship on the Company, for more than 90 days in any 180-day period, unless a longer period is required by federal or state law, in which case that longer period would apply.</w:t>
      </w:r>
    </w:p>
    <w:p>
      <w:pPr>
        <w:spacing w:after="0" w:line="172" w:lineRule="exact"/>
        <w:rPr>
          <w:rFonts w:ascii="Arial" w:cs="Arial" w:eastAsia="Arial" w:hAnsi="Arial"/>
          <w:sz w:val="17"/>
          <w:szCs w:val="17"/>
          <w:color w:val="auto"/>
        </w:rPr>
      </w:pPr>
    </w:p>
    <w:p>
      <w:pPr>
        <w:ind w:left="704" w:hanging="704"/>
        <w:spacing w:after="0"/>
        <w:tabs>
          <w:tab w:leader="none" w:pos="7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w:t>
      </w:r>
    </w:p>
    <w:p>
      <w:pPr>
        <w:spacing w:after="0" w:line="225" w:lineRule="exact"/>
        <w:rPr>
          <w:rFonts w:ascii="Arial" w:cs="Arial" w:eastAsia="Arial" w:hAnsi="Arial"/>
          <w:sz w:val="18"/>
          <w:szCs w:val="18"/>
          <w:color w:val="auto"/>
        </w:rPr>
      </w:pPr>
    </w:p>
    <w:p>
      <w:pPr>
        <w:ind w:left="4" w:right="40" w:hanging="4"/>
        <w:spacing w:after="0" w:line="264" w:lineRule="auto"/>
        <w:tabs>
          <w:tab w:leader="none" w:pos="6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“Good Reason” shall mean the occurrence of one or more of the following (without the Executive’s express written consent):</w:t>
      </w:r>
    </w:p>
    <w:p>
      <w:pPr>
        <w:spacing w:after="0" w:line="181" w:lineRule="exact"/>
        <w:rPr>
          <w:rFonts w:ascii="Arial" w:cs="Arial" w:eastAsia="Arial" w:hAnsi="Arial"/>
          <w:sz w:val="18"/>
          <w:szCs w:val="18"/>
          <w:color w:val="auto"/>
        </w:rPr>
      </w:pPr>
    </w:p>
    <w:p>
      <w:pPr>
        <w:ind w:left="644" w:right="160" w:firstLine="5"/>
        <w:spacing w:after="0" w:line="342" w:lineRule="auto"/>
        <w:tabs>
          <w:tab w:leader="none" w:pos="1354"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(provided, that a change in the Executive’s title or in the individual(s) to whom the Executive reports resulting from a Change in Control shall not in and of itself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445770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76" w:name="page77"/>
    <w:bookmarkEnd w:id="76"/>
    <w:p>
      <w:pPr>
        <w:ind w:left="1292" w:right="560" w:firstLine="5"/>
        <w:spacing w:after="0" w:line="277" w:lineRule="auto"/>
        <w:tabs>
          <w:tab w:leader="none" w:pos="20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material diminution by the Company of the Executive’s rate of base salary or annual target bonus opportunity as in effect immediately prior to such reduction;</w:t>
      </w:r>
    </w:p>
    <w:p>
      <w:pPr>
        <w:spacing w:after="0" w:line="170" w:lineRule="exact"/>
        <w:rPr>
          <w:rFonts w:ascii="Arial" w:cs="Arial" w:eastAsia="Arial" w:hAnsi="Arial"/>
          <w:sz w:val="18"/>
          <w:szCs w:val="18"/>
          <w:color w:val="auto"/>
        </w:rPr>
      </w:pPr>
    </w:p>
    <w:p>
      <w:pPr>
        <w:ind w:left="1292" w:right="20" w:firstLine="5"/>
        <w:spacing w:after="0" w:line="264" w:lineRule="auto"/>
        <w:tabs>
          <w:tab w:leader="none" w:pos="20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change in the location of the Executive’s principal workplace for the Company to a location that is more than fifty (50) miles from the Executive’s principal workplace as of the Effective Date and that results in an increased commute for the Executive from his or her principal residence (except for reasonable periods of required travel on Company business);</w:t>
      </w:r>
    </w:p>
    <w:p>
      <w:pPr>
        <w:spacing w:after="0" w:line="181" w:lineRule="exact"/>
        <w:rPr>
          <w:rFonts w:ascii="Arial" w:cs="Arial" w:eastAsia="Arial" w:hAnsi="Arial"/>
          <w:sz w:val="18"/>
          <w:szCs w:val="18"/>
          <w:color w:val="auto"/>
        </w:rPr>
      </w:pPr>
    </w:p>
    <w:p>
      <w:pPr>
        <w:ind w:left="1292" w:right="620" w:firstLine="5"/>
        <w:spacing w:after="0" w:line="277" w:lineRule="auto"/>
        <w:tabs>
          <w:tab w:leader="none" w:pos="200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failure of the Company to obtain the agreement from any successor to the Company to assume and agree to perform this Agreement as required by Section 5; or</w:t>
      </w:r>
    </w:p>
    <w:p>
      <w:pPr>
        <w:spacing w:after="0" w:line="170" w:lineRule="exact"/>
        <w:rPr>
          <w:rFonts w:ascii="Arial" w:cs="Arial" w:eastAsia="Arial" w:hAnsi="Arial"/>
          <w:sz w:val="18"/>
          <w:szCs w:val="18"/>
          <w:color w:val="auto"/>
        </w:rPr>
      </w:pPr>
    </w:p>
    <w:p>
      <w:pPr>
        <w:ind w:left="1992" w:hanging="695"/>
        <w:spacing w:after="0"/>
        <w:tabs>
          <w:tab w:leader="none" w:pos="199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material breach by the Company of this Agreement or any other agreement with the Executive;</w:t>
      </w:r>
    </w:p>
    <w:p>
      <w:pPr>
        <w:spacing w:after="0" w:line="225" w:lineRule="exact"/>
        <w:rPr>
          <w:sz w:val="20"/>
          <w:szCs w:val="20"/>
          <w:color w:val="auto"/>
        </w:rPr>
      </w:pPr>
    </w:p>
    <w:p>
      <w:pPr>
        <w:ind w:left="652" w:right="160"/>
        <w:spacing w:after="0" w:line="302" w:lineRule="auto"/>
        <w:rPr>
          <w:sz w:val="20"/>
          <w:szCs w:val="20"/>
          <w:color w:val="auto"/>
        </w:rPr>
      </w:pPr>
      <w:r>
        <w:rPr>
          <w:rFonts w:ascii="Arial" w:cs="Arial" w:eastAsia="Arial" w:hAnsi="Arial"/>
          <w:sz w:val="16"/>
          <w:szCs w:val="16"/>
          <w:color w:val="auto"/>
        </w:rPr>
        <w:t>provided, however, that any such condition shall not constitute “Good Reason” unless (x) the Executive provides written notice to the Company of the condition claimed to constitute Good Reason within ninety (90) days of the initial existence of such condition, (y) the Company fails to remedy such condition within thirty (30) days of receiving such written notice thereof, and (z) the termination of the Executive’s employment with the Company occurs not more than one (1) year following the initial existence of the condition claimed to constitute “Good Reason.”</w:t>
      </w:r>
    </w:p>
    <w:p>
      <w:pPr>
        <w:spacing w:after="0" w:line="154" w:lineRule="exact"/>
        <w:rPr>
          <w:sz w:val="20"/>
          <w:szCs w:val="20"/>
          <w:color w:val="auto"/>
        </w:rPr>
      </w:pPr>
    </w:p>
    <w:p>
      <w:pPr>
        <w:jc w:val="both"/>
        <w:ind w:left="652" w:right="220" w:hanging="4"/>
        <w:spacing w:after="0" w:line="264" w:lineRule="auto"/>
        <w:tabs>
          <w:tab w:leader="none" w:pos="135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 shall mean (i) a termination of the Executive’s employment by the Company without Cause (and other than due to Executive’s death or in connection with a good faith determination by the Board that the Executive has a Disability), or (ii) a resignation by the Executive for Good Reason.</w:t>
      </w:r>
    </w:p>
    <w:p>
      <w:pPr>
        <w:spacing w:after="0" w:line="181" w:lineRule="exact"/>
        <w:rPr>
          <w:rFonts w:ascii="Arial" w:cs="Arial" w:eastAsia="Arial" w:hAnsi="Arial"/>
          <w:sz w:val="18"/>
          <w:szCs w:val="18"/>
          <w:color w:val="auto"/>
        </w:rPr>
      </w:pPr>
    </w:p>
    <w:p>
      <w:pPr>
        <w:jc w:val="both"/>
        <w:ind w:left="652" w:right="160" w:hanging="4"/>
        <w:spacing w:after="0" w:line="264" w:lineRule="auto"/>
        <w:tabs>
          <w:tab w:leader="none" w:pos="134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As used herein, a “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652" w:right="300" w:hanging="4"/>
        <w:spacing w:after="0" w:line="277" w:lineRule="auto"/>
        <w:tabs>
          <w:tab w:leader="none" w:pos="131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 means, with respect to any Person, any corporation or other entity a majority of whose outstanding voting stock or voting power is beneficially owned directly or indirectly by such Person.</w:t>
      </w:r>
    </w:p>
    <w:p>
      <w:pPr>
        <w:spacing w:after="0" w:line="166" w:lineRule="exact"/>
        <w:rPr>
          <w:rFonts w:ascii="Arial" w:cs="Arial" w:eastAsia="Arial" w:hAnsi="Arial"/>
          <w:sz w:val="18"/>
          <w:szCs w:val="18"/>
          <w:color w:val="auto"/>
        </w:rPr>
      </w:pPr>
    </w:p>
    <w:p>
      <w:pPr>
        <w:ind w:left="572" w:hanging="572"/>
        <w:spacing w:after="0"/>
        <w:tabs>
          <w:tab w:leader="none" w:pos="57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 Section 280G</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right="120" w:hanging="4"/>
        <w:spacing w:after="0" w:line="264" w:lineRule="auto"/>
        <w:tabs>
          <w:tab w:leader="none" w:pos="1347"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the Company may withhold (or cause there to be withheld, as the case may be) from any amounts otherwise due or payable under or pursuant to this Agreement such federal, state and local income, employment, or other taxes as may be required to be withheld pursuant to any applicable law or regulation.</w:t>
      </w:r>
    </w:p>
    <w:p>
      <w:pPr>
        <w:spacing w:after="0" w:line="181" w:lineRule="exact"/>
        <w:rPr>
          <w:rFonts w:ascii="Arial" w:cs="Arial" w:eastAsia="Arial" w:hAnsi="Arial"/>
          <w:sz w:val="18"/>
          <w:szCs w:val="18"/>
          <w:color w:val="auto"/>
        </w:rPr>
      </w:pPr>
    </w:p>
    <w:p>
      <w:pPr>
        <w:ind w:left="652" w:hanging="4"/>
        <w:spacing w:after="0" w:line="284" w:lineRule="auto"/>
        <w:tabs>
          <w:tab w:leader="none" w:pos="1357"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to the extent that the payments and benefits provided under this Agreement and benefits provided to, or for the benefit of, the Executive under any other Company plan or agreement (such payments or benefits are collectively referred to as the “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 would be subject to the excise tax (the “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 imposed under Section 4999 of the Internal Revenue Code of 1986, as amended (the “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Benefits shall be reduced (but not below zero) if and to the extent that a reduction in the Benefits would result in the Executive retaining a larger amount, on an after-tax basis (taking into account federal, state and local income taxes and the Excise Tax), than if the Executive received all of the Benefits (such reduced amount is referred to hereinafter as the “ </w:t>
      </w:r>
      <w:r>
        <w:rPr>
          <w:rFonts w:ascii="Arial" w:cs="Arial" w:eastAsia="Arial" w:hAnsi="Arial"/>
          <w:sz w:val="16"/>
          <w:szCs w:val="16"/>
          <w:u w:val="single" w:color="auto"/>
          <w:color w:val="auto"/>
        </w:rPr>
        <w:t>Limited Benefit Amount</w:t>
      </w:r>
      <w:r>
        <w:rPr>
          <w:rFonts w:ascii="Arial" w:cs="Arial" w:eastAsia="Arial" w:hAnsi="Arial"/>
          <w:sz w:val="16"/>
          <w:szCs w:val="16"/>
          <w:color w:val="auto"/>
        </w:rPr>
        <w:t xml:space="preserve"> ”). Unless the Executive shall have given prior written notice (to the extent such a notice does not result in any tax liabilities under Section 409A of the Code) specifying a different order to the Company to effectuate the Limited Benefit Amount,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hereinafter defined). Any notice given by the Executive pursuant to the preceding sentence shall take precedence over the provisions of any other plan, arrangement or agreement governing the Executive’s rights and entitlements to any benefits or compensation. A determination as to whether the Benefits shall be reduced to the Limited Benefit Amount pursuant to this Agreement and the amount of such Limited Benefit Amount shall be made by Company’s independent public accountants or another certified public accounting firm of national reputation designated by the Company (the “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 at the Company’s expense. The Accounting Firm shall provide its determination (the “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 together with detailed supporting calculations and documentation to Company and Executive within five (5) days of the date of termination of the Executive’s employment, if applicable, or such other time as requested by Company or the Executive (provided the Executive reasonably believes that any of the Benefits may be subject to the Excise Tax), and if the Accounting Firm determines that no Excise Tax is payable by the Executive with respect to any Benefits, it shall furnish the Executive with an opinion reasonably acceptable to the Executive that no Excise Tax will be imposed with respect to any such Benefits. Unless the Executive provides written notice to Company within ten (10) days of the delivery of the Determination to the Executive that he disputes such Determination, the Determination shall be binding, final and conclusive upon Company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77" w:name="page78"/>
    <w:bookmarkEnd w:id="77"/>
    <w:p>
      <w:pPr>
        <w:ind w:left="572" w:right="80" w:hanging="572"/>
        <w:spacing w:after="0" w:line="266" w:lineRule="auto"/>
        <w:tabs>
          <w:tab w:leader="none" w:pos="5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hereby reaffirms his obligations under the confidentiality and other restrictive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Confidential Information Agreement between the Executive and the Company dated July 6, 2010 (the “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 as in effect on the Effective Date.</w:t>
      </w:r>
    </w:p>
    <w:p>
      <w:pPr>
        <w:spacing w:after="0" w:line="176" w:lineRule="exact"/>
        <w:rPr>
          <w:rFonts w:ascii="Arial" w:cs="Arial" w:eastAsia="Arial" w:hAnsi="Arial"/>
          <w:sz w:val="18"/>
          <w:szCs w:val="18"/>
          <w:b w:val="1"/>
          <w:bCs w:val="1"/>
          <w:color w:val="auto"/>
        </w:rPr>
      </w:pPr>
    </w:p>
    <w:p>
      <w:pPr>
        <w:ind w:left="572" w:hanging="572"/>
        <w:spacing w:after="0"/>
        <w:tabs>
          <w:tab w:leader="none" w:pos="5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64" w:lineRule="auto"/>
        <w:tabs>
          <w:tab w:leader="none" w:pos="1344"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1" w:lineRule="exact"/>
        <w:rPr>
          <w:rFonts w:ascii="Arial" w:cs="Arial" w:eastAsia="Arial" w:hAnsi="Arial"/>
          <w:sz w:val="18"/>
          <w:szCs w:val="18"/>
          <w:color w:val="auto"/>
        </w:rPr>
      </w:pPr>
    </w:p>
    <w:p>
      <w:pPr>
        <w:ind w:left="652" w:right="20" w:hanging="4"/>
        <w:spacing w:after="0" w:line="255" w:lineRule="auto"/>
        <w:tabs>
          <w:tab w:leader="none" w:pos="1354"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 Without limiting the generality of the preceding sentence,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or assignee, as applicable, which assumes and agrees to perform this Agreement by operation of law or otherwise.</w:t>
      </w:r>
    </w:p>
    <w:p>
      <w:pPr>
        <w:spacing w:after="0" w:line="189" w:lineRule="exact"/>
        <w:rPr>
          <w:rFonts w:ascii="Arial" w:cs="Arial" w:eastAsia="Arial" w:hAnsi="Arial"/>
          <w:sz w:val="18"/>
          <w:szCs w:val="18"/>
          <w:color w:val="auto"/>
        </w:rPr>
      </w:pPr>
    </w:p>
    <w:p>
      <w:pPr>
        <w:ind w:left="572" w:right="280" w:hanging="572"/>
        <w:spacing w:after="0" w:line="314" w:lineRule="auto"/>
        <w:tabs>
          <w:tab w:leader="none" w:pos="57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and Gender; Examples</w:t>
      </w:r>
      <w:r>
        <w:rPr>
          <w:rFonts w:ascii="Arial" w:cs="Arial" w:eastAsia="Arial" w:hAnsi="Arial"/>
          <w:sz w:val="16"/>
          <w:szCs w:val="16"/>
          <w:b w:val="1"/>
          <w:bCs w:val="1"/>
          <w:color w:val="auto"/>
        </w:rPr>
        <w:t xml:space="preserve"> . </w:t>
      </w:r>
      <w:r>
        <w:rPr>
          <w:rFonts w:ascii="Arial" w:cs="Arial" w:eastAsia="Arial" w:hAnsi="Arial"/>
          <w:sz w:val="16"/>
          <w:szCs w:val="16"/>
          <w:color w:val="auto"/>
        </w:rPr>
        <w:t>Where the context requires, the singular shall include the plural, the plural shall include the singular,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gender shall include all other genders. Where specific language is used to clarify by example a general statement contained herein, such specific language shall not be deemed to modify, limit or restrict in any manner the construction of the general statement to which it relates.</w:t>
      </w:r>
    </w:p>
    <w:p>
      <w:pPr>
        <w:spacing w:after="0" w:line="142" w:lineRule="exact"/>
        <w:rPr>
          <w:rFonts w:ascii="Arial" w:cs="Arial" w:eastAsia="Arial" w:hAnsi="Arial"/>
          <w:sz w:val="16"/>
          <w:szCs w:val="16"/>
          <w:b w:val="1"/>
          <w:bCs w:val="1"/>
          <w:color w:val="auto"/>
        </w:rPr>
      </w:pPr>
    </w:p>
    <w:p>
      <w:pPr>
        <w:ind w:left="572" w:right="640" w:hanging="572"/>
        <w:spacing w:after="0" w:line="347" w:lineRule="auto"/>
        <w:tabs>
          <w:tab w:leader="none" w:pos="57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Headings</w:t>
      </w:r>
      <w:r>
        <w:rPr>
          <w:rFonts w:ascii="Arial" w:cs="Arial" w:eastAsia="Arial" w:hAnsi="Arial"/>
          <w:sz w:val="16"/>
          <w:szCs w:val="16"/>
          <w:b w:val="1"/>
          <w:bCs w:val="1"/>
          <w:color w:val="auto"/>
        </w:rPr>
        <w:t xml:space="preserve"> . </w:t>
      </w:r>
      <w:r>
        <w:rPr>
          <w:rFonts w:ascii="Arial" w:cs="Arial" w:eastAsia="Arial" w:hAnsi="Arial"/>
          <w:sz w:val="16"/>
          <w:szCs w:val="16"/>
          <w:color w:val="auto"/>
        </w:rPr>
        <w:t>The section headings of, and titles of paragraphs and subparagraphs contained in, this Agreement are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only, and they neither form a part of this Agreement nor are they to be used in the construction or interpretation thereof.</w:t>
      </w:r>
    </w:p>
    <w:p>
      <w:pPr>
        <w:spacing w:after="0" w:line="116" w:lineRule="exact"/>
        <w:rPr>
          <w:rFonts w:ascii="Arial" w:cs="Arial" w:eastAsia="Arial" w:hAnsi="Arial"/>
          <w:sz w:val="16"/>
          <w:szCs w:val="16"/>
          <w:b w:val="1"/>
          <w:bCs w:val="1"/>
          <w:color w:val="auto"/>
        </w:rPr>
      </w:pPr>
    </w:p>
    <w:p>
      <w:pPr>
        <w:ind w:left="572" w:hanging="572"/>
        <w:spacing w:after="0" w:line="266" w:lineRule="auto"/>
        <w:tabs>
          <w:tab w:leader="none" w:pos="5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shall be deemed to have been executed and delivered within the State of Maryland, and the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hereunder shall be construed and enforced in accordance with, and governed by, the laws of the State of Maryland without regard to principles of conflict of laws.</w:t>
      </w:r>
    </w:p>
    <w:p>
      <w:pPr>
        <w:spacing w:after="0" w:line="176" w:lineRule="exact"/>
        <w:rPr>
          <w:rFonts w:ascii="Arial" w:cs="Arial" w:eastAsia="Arial" w:hAnsi="Arial"/>
          <w:sz w:val="18"/>
          <w:szCs w:val="18"/>
          <w:b w:val="1"/>
          <w:bCs w:val="1"/>
          <w:color w:val="auto"/>
        </w:rPr>
      </w:pPr>
    </w:p>
    <w:p>
      <w:pPr>
        <w:jc w:val="both"/>
        <w:ind w:left="572" w:right="660" w:hanging="572"/>
        <w:spacing w:after="0" w:line="266" w:lineRule="auto"/>
        <w:tabs>
          <w:tab w:leader="none" w:pos="5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 </w:t>
      </w:r>
      <w:r>
        <w:rPr>
          <w:rFonts w:ascii="Arial" w:cs="Arial" w:eastAsia="Arial" w:hAnsi="Arial"/>
          <w:sz w:val="18"/>
          <w:szCs w:val="18"/>
          <w:color w:val="auto"/>
        </w:rPr>
        <w:t>If any provision of this Agreement or the application thereof is held invalid, the invalidity shall not affect other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of this Agreement which can be given effect without the invalid provisions or applications and to this end the provisions of this Agreement are declared to be severable.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78" w:name="page79"/>
    <w:bookmarkEnd w:id="78"/>
    <w:p>
      <w:pPr>
        <w:ind w:left="572" w:hanging="572"/>
        <w:spacing w:after="0" w:line="288" w:lineRule="auto"/>
        <w:tabs>
          <w:tab w:leader="none" w:pos="57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(and the other documents referred to herein) embodies the entire agreement of the parties hereto respecting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within its scope. This Agreement supersedes all prior and contemporaneous agreements of the parties hereto that directly or indirectly bears upon the subject matter hereof and any other written or oral agreement relating to the subject matter hereof existing between the parties (including, without limitation, the Existing Agreement) is expressly canceled. The Existing Agreement is hereby amended in its entirety and restated herein. All provisions of, rights granted under and covenants made in the Existing Agreement are hereby waived, released and superseded in their entirety and shall have no further force or effect. Any prior negotiations, correspondence, agreements, proposals or understandings relating to the subject matter hereof shall be deemed to have been merged into this Agreement, and to the extent inconsistent herewith, such negotiations, correspondence, agreements, proposals, or understandings shall be deemed to be of no force or effect. There are no representations, warranties, or agreements, whether express or implied, or oral or written, with respect to the subject matter hereof, except as expressly set forth herein. Notwithstanding anything above in this Section 10 to the contrary, and for purposes of clarity, the Confidentiality Agreement, as well as the Company’s rights under any trade secret, confidentiality, inventions or similar agreement or policy, are not integrated into this Agreement and shall continue in effect.</w:t>
      </w:r>
    </w:p>
    <w:p>
      <w:pPr>
        <w:spacing w:after="0" w:line="164" w:lineRule="exact"/>
        <w:rPr>
          <w:rFonts w:ascii="Arial" w:cs="Arial" w:eastAsia="Arial" w:hAnsi="Arial"/>
          <w:sz w:val="16"/>
          <w:szCs w:val="16"/>
          <w:b w:val="1"/>
          <w:bCs w:val="1"/>
          <w:color w:val="auto"/>
        </w:rPr>
      </w:pPr>
    </w:p>
    <w:p>
      <w:pPr>
        <w:ind w:left="572" w:right="180" w:hanging="572"/>
        <w:spacing w:after="0" w:line="282" w:lineRule="auto"/>
        <w:tabs>
          <w:tab w:leader="none" w:pos="57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may not be amended, modified or changed (in whole or in part), except by a formal, definitive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referring to this Agreement, which agreement is executed by both of the parties hereto.</w:t>
      </w:r>
    </w:p>
    <w:p>
      <w:pPr>
        <w:spacing w:after="0" w:line="161" w:lineRule="exact"/>
        <w:rPr>
          <w:rFonts w:ascii="Arial" w:cs="Arial" w:eastAsia="Arial" w:hAnsi="Arial"/>
          <w:sz w:val="18"/>
          <w:szCs w:val="18"/>
          <w:b w:val="1"/>
          <w:bCs w:val="1"/>
          <w:color w:val="auto"/>
        </w:rPr>
      </w:pPr>
    </w:p>
    <w:p>
      <w:pPr>
        <w:ind w:left="572" w:right="100" w:hanging="572"/>
        <w:spacing w:after="0" w:line="282" w:lineRule="auto"/>
        <w:tabs>
          <w:tab w:leader="none" w:pos="57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 </w:t>
      </w:r>
      <w:r>
        <w:rPr>
          <w:rFonts w:ascii="Arial" w:cs="Arial" w:eastAsia="Arial" w:hAnsi="Arial"/>
          <w:sz w:val="18"/>
          <w:szCs w:val="18"/>
          <w:color w:val="auto"/>
        </w:rPr>
        <w:t>No waiver of any breach of any term or provision of this Agreement shall be construed to be, nor shall be, a waiver of any other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waiver shall be binding unless in writing and signed by the party waiving the breach.</w:t>
      </w:r>
    </w:p>
    <w:p>
      <w:pPr>
        <w:spacing w:after="0" w:line="161" w:lineRule="exact"/>
        <w:rPr>
          <w:rFonts w:ascii="Arial" w:cs="Arial" w:eastAsia="Arial" w:hAnsi="Arial"/>
          <w:sz w:val="18"/>
          <w:szCs w:val="18"/>
          <w:b w:val="1"/>
          <w:bCs w:val="1"/>
          <w:color w:val="auto"/>
        </w:rPr>
      </w:pPr>
    </w:p>
    <w:p>
      <w:pPr>
        <w:ind w:left="572" w:right="120" w:hanging="572"/>
        <w:spacing w:after="0" w:line="287" w:lineRule="auto"/>
        <w:tabs>
          <w:tab w:leader="none" w:pos="57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 </w:t>
      </w:r>
      <w:r>
        <w:rPr>
          <w:rFonts w:ascii="Arial" w:cs="Arial" w:eastAsia="Arial" w:hAnsi="Arial"/>
          <w:sz w:val="16"/>
          <w:szCs w:val="16"/>
          <w:color w:val="auto"/>
        </w:rPr>
        <w:t>The parties shall attempt in good faith to resolve all claims, disputes and other disagreements arising under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Columbia, Maryland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w:t>
      </w:r>
    </w:p>
    <w:p>
      <w:pPr>
        <w:spacing w:after="0" w:line="168" w:lineRule="exact"/>
        <w:rPr>
          <w:rFonts w:ascii="Arial" w:cs="Arial" w:eastAsia="Arial" w:hAnsi="Arial"/>
          <w:sz w:val="16"/>
          <w:szCs w:val="16"/>
          <w:b w:val="1"/>
          <w:bCs w:val="1"/>
          <w:color w:val="auto"/>
        </w:rPr>
      </w:pPr>
    </w:p>
    <w:p>
      <w:pPr>
        <w:ind w:left="572" w:hanging="572"/>
        <w:spacing w:after="0" w:line="277" w:lineRule="auto"/>
        <w:tabs>
          <w:tab w:leader="none" w:pos="572"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 </w:t>
      </w:r>
      <w:r>
        <w:rPr>
          <w:rFonts w:ascii="Arial" w:cs="Arial" w:eastAsia="Arial" w:hAnsi="Arial"/>
          <w:sz w:val="17"/>
          <w:szCs w:val="17"/>
          <w:color w:val="auto"/>
        </w:rPr>
        <w:t>Any notice provided for in this Agreement must be in writing and must be either personally delivered, transmitted via telecopier, mailed by</w:t>
      </w:r>
      <w:r>
        <w:rPr>
          <w:rFonts w:ascii="Arial" w:cs="Arial" w:eastAsia="Arial" w:hAnsi="Arial"/>
          <w:sz w:val="17"/>
          <w:szCs w:val="17"/>
          <w:b w:val="1"/>
          <w:bCs w:val="1"/>
          <w:color w:val="auto"/>
        </w:rPr>
        <w:t xml:space="preserve"> </w:t>
      </w:r>
      <w:r>
        <w:rPr>
          <w:rFonts w:ascii="Arial" w:cs="Arial" w:eastAsia="Arial" w:hAnsi="Arial"/>
          <w:sz w:val="17"/>
          <w:szCs w:val="17"/>
          <w:color w:val="auto"/>
        </w:rPr>
        <w:t>first class mail (postage prepaid and return receipt requested) or sent by reputable overnight courier service (charges prepaid) to the recipient at the address below indicated or at such other address or to the attention of such other person as the recipient party has specified by prior written notice to the sending party. Notices will be deemed to have been given hereunder and received when delivered personally, when received if transmitted via telecopier, five days after deposit in the U.S. mail and one day after deposit with a reputable overnight courier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476885</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79" w:name="page80"/>
    <w:bookmarkEnd w:id="79"/>
    <w:p>
      <w:pPr>
        <w:ind w:left="1252"/>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Executive, to the address most recently on file in the payroll records of the Company.</w:t>
      </w:r>
    </w:p>
    <w:p>
      <w:pPr>
        <w:spacing w:after="0" w:line="221" w:lineRule="exact"/>
        <w:rPr>
          <w:sz w:val="20"/>
          <w:szCs w:val="20"/>
          <w:color w:val="auto"/>
        </w:rPr>
      </w:pPr>
    </w:p>
    <w:p>
      <w:pPr>
        <w:ind w:left="572" w:right="20" w:hanging="572"/>
        <w:spacing w:after="0" w:line="289" w:lineRule="auto"/>
        <w:tabs>
          <w:tab w:leader="none" w:pos="57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may be executed in any number of counterparts, each of which shall be deemed an original as against any party</w:t>
      </w:r>
      <w:r>
        <w:rPr>
          <w:rFonts w:ascii="Arial" w:cs="Arial" w:eastAsia="Arial" w:hAnsi="Arial"/>
          <w:sz w:val="16"/>
          <w:szCs w:val="16"/>
          <w:b w:val="1"/>
          <w:bCs w:val="1"/>
          <w:color w:val="auto"/>
        </w:rPr>
        <w:t xml:space="preserve"> </w:t>
      </w:r>
      <w:r>
        <w:rPr>
          <w:rFonts w:ascii="Arial" w:cs="Arial" w:eastAsia="Arial" w:hAnsi="Arial"/>
          <w:sz w:val="16"/>
          <w:szCs w:val="16"/>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w:t>
      </w:r>
    </w:p>
    <w:p>
      <w:pPr>
        <w:spacing w:after="0" w:line="1"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signatories. Photographic copies of such signed counterparts may be used in lieu of the originals for any purpose.</w:t>
      </w:r>
    </w:p>
    <w:p>
      <w:pPr>
        <w:spacing w:after="0" w:line="206" w:lineRule="exact"/>
        <w:rPr>
          <w:rFonts w:ascii="Arial" w:cs="Arial" w:eastAsia="Arial" w:hAnsi="Arial"/>
          <w:sz w:val="16"/>
          <w:szCs w:val="16"/>
          <w:b w:val="1"/>
          <w:bCs w:val="1"/>
          <w:color w:val="auto"/>
        </w:rPr>
      </w:pPr>
    </w:p>
    <w:p>
      <w:pPr>
        <w:ind w:left="572" w:hanging="572"/>
        <w:spacing w:after="0" w:line="298" w:lineRule="auto"/>
        <w:tabs>
          <w:tab w:leader="none" w:pos="57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Legal Counsel; Mutual Drafting</w:t>
      </w:r>
      <w:r>
        <w:rPr>
          <w:rFonts w:ascii="Arial" w:cs="Arial" w:eastAsia="Arial" w:hAnsi="Arial"/>
          <w:sz w:val="16"/>
          <w:szCs w:val="16"/>
          <w:b w:val="1"/>
          <w:bCs w:val="1"/>
          <w:color w:val="auto"/>
        </w:rPr>
        <w:t xml:space="preserve"> . </w:t>
      </w:r>
      <w:r>
        <w:rPr>
          <w:rFonts w:ascii="Arial" w:cs="Arial" w:eastAsia="Arial" w:hAnsi="Arial"/>
          <w:sz w:val="16"/>
          <w:szCs w:val="16"/>
          <w:color w:val="auto"/>
        </w:rPr>
        <w:t>Each party recognizes that this is a legally binding contract and acknowledges and agrees that they have had the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consult with legal counsel of their choice. Each party has cooperated in the drafting, negotiation and preparation of this Agreement. Hence, in any construction to be made of this Agreement, the same shall not be construed against either party on the basis of that party being the drafter of such language. The Executive agrees and acknowledges that he has read and understands this Agreement, is entering into it freely and voluntarily, and has been advised to seek counsel prior to entering into this Agreement and has had ample opportunity to do so.</w:t>
      </w:r>
    </w:p>
    <w:p>
      <w:pPr>
        <w:spacing w:after="0" w:line="154" w:lineRule="exact"/>
        <w:rPr>
          <w:rFonts w:ascii="Arial" w:cs="Arial" w:eastAsia="Arial" w:hAnsi="Arial"/>
          <w:sz w:val="16"/>
          <w:szCs w:val="16"/>
          <w:b w:val="1"/>
          <w:bCs w:val="1"/>
          <w:color w:val="auto"/>
        </w:rPr>
      </w:pPr>
    </w:p>
    <w:p>
      <w:pPr>
        <w:ind w:left="572" w:hanging="572"/>
        <w:spacing w:after="0"/>
        <w:tabs>
          <w:tab w:leader="none" w:pos="57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57" w:lineRule="auto"/>
        <w:tabs>
          <w:tab w:leader="none" w:pos="1347" w:val="left"/>
        </w:tabs>
        <w:numPr>
          <w:ilvl w:val="1"/>
          <w:numId w:val="83"/>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ind w:left="652" w:right="20" w:hanging="4"/>
        <w:spacing w:after="0" w:line="271" w:lineRule="auto"/>
        <w:tabs>
          <w:tab w:leader="none" w:pos="1357" w:val="left"/>
        </w:tabs>
        <w:numPr>
          <w:ilvl w:val="1"/>
          <w:numId w:val="83"/>
        </w:numPr>
        <w:rPr>
          <w:rFonts w:ascii="Arial" w:cs="Arial" w:eastAsia="Arial" w:hAnsi="Arial"/>
          <w:sz w:val="17"/>
          <w:szCs w:val="17"/>
          <w:color w:val="auto"/>
        </w:rPr>
      </w:pPr>
      <w:r>
        <w:rPr>
          <w:rFonts w:ascii="Arial" w:cs="Arial" w:eastAsia="Arial" w:hAnsi="Arial"/>
          <w:sz w:val="17"/>
          <w:szCs w:val="17"/>
          <w:color w:val="auto"/>
        </w:rPr>
        <w:t>If the Executive is a “specified employee” within the meaning of Treasury Regulation Section 1.409A-1(i) as of the date of the Executive’s Separation from Service, the Executive shall not be entitled to any payment or benefit pursuant to Section 1.2(b) of this Agreement until the earlier of (i) the date which is six (6) months after his or her Separation from Service for any reason other than death, or (ii) the date of the Executive’s death. The provisions of this Section 17(b)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17(b)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78" w:lineRule="exact"/>
        <w:rPr>
          <w:rFonts w:ascii="Arial" w:cs="Arial" w:eastAsia="Arial" w:hAnsi="Arial"/>
          <w:sz w:val="17"/>
          <w:szCs w:val="17"/>
          <w:color w:val="auto"/>
        </w:rPr>
      </w:pPr>
    </w:p>
    <w:p>
      <w:pPr>
        <w:ind w:left="652" w:right="20" w:hanging="4"/>
        <w:spacing w:after="0" w:line="297" w:lineRule="auto"/>
        <w:tabs>
          <w:tab w:leader="none" w:pos="1344" w:val="left"/>
        </w:tabs>
        <w:numPr>
          <w:ilvl w:val="1"/>
          <w:numId w:val="83"/>
        </w:numPr>
        <w:rPr>
          <w:rFonts w:ascii="Arial" w:cs="Arial" w:eastAsia="Arial" w:hAnsi="Arial"/>
          <w:sz w:val="16"/>
          <w:szCs w:val="16"/>
          <w:color w:val="auto"/>
        </w:rPr>
      </w:pPr>
      <w:r>
        <w:rPr>
          <w:rFonts w:ascii="Arial" w:cs="Arial" w:eastAsia="Arial" w:hAnsi="Arial"/>
          <w:sz w:val="16"/>
          <w:szCs w:val="16"/>
          <w:color w:val="auto"/>
        </w:rPr>
        <w:t>To the extent that any benefits or reimbursements pursuant to Section 1.2(b)(ii) or Section 1.2(b)(iii) of this Agreement are taxable to the Executive, any reimbursement payment due to the Executive pursuant to such provisions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467360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80" w:name="page81"/>
    <w:bookmarkEnd w:id="80"/>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 the Company and the Executive have executed this Amended and Restated Change in Control Severance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H. Tardugno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&amp;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Jeffrey Church</w:t>
      </w:r>
    </w:p>
    <w:p>
      <w:pPr>
        <w:sectPr>
          <w:pgSz w:w="11900" w:h="16838" w:orient="portrait"/>
          <w:cols w:equalWidth="0" w:num="1">
            <w:col w:w="11240"/>
          </w:cols>
          <w:pgMar w:left="240" w:top="580" w:right="419" w:bottom="1440" w:gutter="0" w:footer="0" w:header="0"/>
        </w:sectPr>
      </w:pPr>
    </w:p>
    <w:bookmarkStart w:id="81" w:name="page82"/>
    <w:bookmarkEnd w:id="81"/>
    <w:p>
      <w:pPr>
        <w:ind w:left="10440"/>
        <w:spacing w:after="0"/>
        <w:rPr>
          <w:sz w:val="20"/>
          <w:szCs w:val="20"/>
          <w:color w:val="auto"/>
        </w:rPr>
      </w:pPr>
      <w:r>
        <w:rPr>
          <w:rFonts w:ascii="Arial" w:cs="Arial" w:eastAsia="Arial" w:hAnsi="Arial"/>
          <w:sz w:val="17"/>
          <w:szCs w:val="17"/>
          <w:b w:val="1"/>
          <w:bCs w:val="1"/>
          <w:color w:val="auto"/>
        </w:rPr>
        <w:t>Exhibit 10.4</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AND RESTATED CHANGE IN CONTROL SEVERANCE AGREEMENT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THIS AMENDED AND RESTATED CHANGE IN CONTROL SEVERANCE AGREEMENT </w:t>
      </w:r>
      <w:r>
        <w:rPr>
          <w:rFonts w:ascii="Arial" w:cs="Arial" w:eastAsia="Arial" w:hAnsi="Arial"/>
          <w:sz w:val="18"/>
          <w:szCs w:val="18"/>
          <w:color w:val="auto"/>
        </w:rPr>
        <w:t>(this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is made and entered into this 6th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 of September 2016 (the “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 by and between Celsion Corporation,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and </w:t>
      </w:r>
      <w:r>
        <w:rPr>
          <w:rFonts w:ascii="Arial" w:cs="Arial" w:eastAsia="Arial" w:hAnsi="Arial"/>
          <w:sz w:val="18"/>
          <w:szCs w:val="18"/>
          <w:b w:val="1"/>
          <w:bCs w:val="1"/>
          <w:color w:val="auto"/>
        </w:rPr>
        <w:t>Timothy Tumminello</w:t>
      </w:r>
      <w:r>
        <w:rPr>
          <w:rFonts w:ascii="Arial" w:cs="Arial" w:eastAsia="Arial" w:hAnsi="Arial"/>
          <w:sz w:val="18"/>
          <w:szCs w:val="18"/>
          <w:color w:val="auto"/>
        </w:rPr>
        <w:t xml:space="preserve"> (the “ </w:t>
      </w: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w:t>
      </w:r>
    </w:p>
    <w:p>
      <w:pPr>
        <w:spacing w:after="0" w:line="17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are parties to that certain dated as of February 6, 2013 (the “Existing Agreement”); 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Existing Agreement in its entirety as set forth in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ENTER THIS AGREEMENT </w:t>
      </w:r>
      <w:r>
        <w:rPr>
          <w:rFonts w:ascii="Arial" w:cs="Arial" w:eastAsia="Arial" w:hAnsi="Arial"/>
          <w:sz w:val="18"/>
          <w:szCs w:val="18"/>
          <w:color w:val="auto"/>
        </w:rPr>
        <w:t>on the basis of the following facts, understandings and intentions:</w:t>
      </w:r>
    </w:p>
    <w:p>
      <w:pPr>
        <w:spacing w:after="0" w:line="229" w:lineRule="exact"/>
        <w:rPr>
          <w:sz w:val="20"/>
          <w:szCs w:val="20"/>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Executive is a key executive of the Company.</w:t>
      </w:r>
    </w:p>
    <w:p>
      <w:pPr>
        <w:spacing w:after="0" w:line="225" w:lineRule="exact"/>
        <w:rPr>
          <w:rFonts w:ascii="Arial" w:cs="Arial" w:eastAsia="Arial" w:hAnsi="Arial"/>
          <w:sz w:val="18"/>
          <w:szCs w:val="18"/>
          <w:color w:val="auto"/>
        </w:rPr>
      </w:pPr>
    </w:p>
    <w:p>
      <w:pPr>
        <w:jc w:val="both"/>
        <w:ind w:left="660" w:right="20" w:hanging="4"/>
        <w:spacing w:after="0" w:line="279" w:lineRule="auto"/>
        <w:tabs>
          <w:tab w:leader="none" w:pos="1365"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Should the possibility of a Change in Control arise, the Board of Directors of the Company (the “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 believes it is imperative that the Company and the Board be able to rely upon the Executive to continue in his position, and that the Company should be able to receive and rely upon the Executive’s advice, if requested, as to the best interests of the Company and its stockholders without concern that the Executive might be distracted by the personal uncertainties and risks created by the possibility of a Change in Control.</w:t>
      </w:r>
    </w:p>
    <w:p>
      <w:pPr>
        <w:spacing w:after="0" w:line="171" w:lineRule="exact"/>
        <w:rPr>
          <w:rFonts w:ascii="Arial" w:cs="Arial" w:eastAsia="Arial" w:hAnsi="Arial"/>
          <w:sz w:val="17"/>
          <w:szCs w:val="17"/>
          <w:color w:val="auto"/>
        </w:rPr>
      </w:pPr>
    </w:p>
    <w:p>
      <w:pPr>
        <w:ind w:left="660" w:right="300" w:hanging="4"/>
        <w:spacing w:after="0" w:line="264" w:lineRule="auto"/>
        <w:tabs>
          <w:tab w:leader="none" w:pos="13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(the “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 has approved the Company entering into a change in control severance agreement with the Executive to help mitigate the uncertainties and risks to the Executive should the possibility of a Change in Control arise.</w:t>
      </w:r>
    </w:p>
    <w:p>
      <w:pPr>
        <w:spacing w:after="0" w:line="181" w:lineRule="exact"/>
        <w:rPr>
          <w:rFonts w:ascii="Arial" w:cs="Arial" w:eastAsia="Arial" w:hAnsi="Arial"/>
          <w:sz w:val="18"/>
          <w:szCs w:val="18"/>
          <w:color w:val="auto"/>
        </w:rPr>
      </w:pPr>
    </w:p>
    <w:p>
      <w:pPr>
        <w:ind w:left="660" w:right="60" w:hanging="4"/>
        <w:spacing w:after="0" w:line="264" w:lineRule="auto"/>
        <w:tabs>
          <w:tab w:leader="none" w:pos="13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provides the benefits the Executive will be entitled to receive upon certain terminations of employment in connection with a Change in Control from and after the Effective Date and supersedes and negates all previous agreements with respect to such benefits except as expressly provided herein.</w:t>
      </w:r>
    </w:p>
    <w:p>
      <w:pPr>
        <w:spacing w:after="0" w:line="177"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AGREEMENT</w:t>
      </w:r>
    </w:p>
    <w:p>
      <w:pPr>
        <w:spacing w:after="0" w:line="27" w:lineRule="exact"/>
        <w:rPr>
          <w:sz w:val="20"/>
          <w:szCs w:val="20"/>
          <w:color w:val="auto"/>
        </w:rPr>
      </w:pPr>
    </w:p>
    <w:p>
      <w:pPr>
        <w:ind w:right="220" w:firstLine="45"/>
        <w:spacing w:after="0" w:line="29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 in consideration of the above recitals incorporated herein and the mutual covenants and promises contained herein and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valuable consideration, the receipt and sufficiency of which are hereby expressly acknowledged, the parties agree as follows:</w:t>
      </w:r>
    </w:p>
    <w:p>
      <w:pPr>
        <w:spacing w:after="0" w:line="158"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260" w:right="20" w:hanging="566"/>
        <w:spacing w:after="0" w:line="291" w:lineRule="auto"/>
        <w:tabs>
          <w:tab w:leader="none" w:pos="12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 xml:space="preserve">Termination Outside of Change in Control Context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If, at any time prior to the date of a Change in Control or any time after the date</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that is two (2) years after a Change in Control, the Executive’s employment with the Company is terminated for any reason by the Company or by the Executive (in any case, the date that the Executive’s employment with the Company terminates is referred to as the “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 the Executive shall not be entitled to any payments or benefits under this Agreement. The Executive’s rights (if any) to receive any payments or benefits in connection with such termination shall be determined under any employment agreement, offer letter or similar agreement between the Executive and the Company then in effect (an “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 or any other Company agreement, plan or policy then in effect under which the Executive would be entitled to severance benefits in connection with such a termination of employment (any such agreement (including an Employment Agreement), plan or policy, a “ </w:t>
      </w:r>
      <w:r>
        <w:rPr>
          <w:rFonts w:ascii="Arial" w:cs="Arial" w:eastAsia="Arial" w:hAnsi="Arial"/>
          <w:sz w:val="16"/>
          <w:szCs w:val="16"/>
          <w:u w:val="single" w:color="auto"/>
          <w:color w:val="auto"/>
        </w:rPr>
        <w:t>Severance Arrangement</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ind w:left="60" w:right="60" w:hanging="566"/>
        <w:spacing w:after="0" w:line="281" w:lineRule="auto"/>
        <w:tabs>
          <w:tab w:leader="none" w:pos="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u w:val="single" w:color="auto"/>
          <w:color w:val="auto"/>
        </w:rPr>
        <w:t xml:space="preserve">Termination in Connection with a Change in Control </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If, at any time during the period commencing on the date of a Change in Control</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and ending two (2) years after the Change in Control, the Executive’s employment with the Company is terminated for any reason by the Company or by the Executive, the Company shall have no further obligation to make or provide to the Executive, and the Executive shall have no further right to receive or obtain from the Company, any payments or benefits except as follows:</w:t>
      </w:r>
    </w:p>
    <w:p>
      <w:pPr>
        <w:spacing w:after="0" w:line="169" w:lineRule="exact"/>
        <w:rPr>
          <w:sz w:val="20"/>
          <w:szCs w:val="20"/>
          <w:color w:val="auto"/>
        </w:rPr>
      </w:pPr>
    </w:p>
    <w:p>
      <w:pPr>
        <w:ind w:left="800" w:hanging="695"/>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pay the Executive (or, in the event of his death, the Executive’s estate) any Accrued Obligations;</w:t>
      </w:r>
    </w:p>
    <w:p>
      <w:pPr>
        <w:spacing w:after="0" w:line="225" w:lineRule="exact"/>
        <w:rPr>
          <w:rFonts w:ascii="Arial" w:cs="Arial" w:eastAsia="Arial" w:hAnsi="Arial"/>
          <w:sz w:val="18"/>
          <w:szCs w:val="18"/>
          <w:color w:val="auto"/>
        </w:rPr>
      </w:pPr>
    </w:p>
    <w:p>
      <w:pPr>
        <w:jc w:val="both"/>
        <w:ind w:left="100" w:right="320" w:firstLine="5"/>
        <w:spacing w:after="0" w:line="264" w:lineRule="auto"/>
        <w:tabs>
          <w:tab w:leader="none" w:pos="8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a termination of the Executive’s employment with the Company constitutes an Involuntary Termination, the Executive shall be entitled to the following benefits (in addition to the Accrued Obligations and any payments or benefits payable to the Executive pursuant to any Severance Arrangement):</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shall pay the Executive, subject to tax withholding and other authorized deductions, an amount equal to</w:t>
      </w:r>
    </w:p>
    <w:p>
      <w:pPr>
        <w:spacing w:after="0" w:line="46" w:lineRule="exact"/>
        <w:rPr>
          <w:rFonts w:ascii="Arial" w:cs="Arial" w:eastAsia="Arial" w:hAnsi="Arial"/>
          <w:sz w:val="16"/>
          <w:szCs w:val="16"/>
          <w:color w:val="auto"/>
        </w:rPr>
      </w:pPr>
    </w:p>
    <w:p>
      <w:pPr>
        <w:ind w:left="760" w:right="20" w:hanging="7"/>
        <w:spacing w:after="0" w:line="253" w:lineRule="auto"/>
        <w:tabs>
          <w:tab w:leader="none" w:pos="101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two (2), times (y) the sum of (1) the Executive’s base salary at the annualized rate in effect on the Severance Date plus (2) the Executive’s target annual bonus for the Company’s fiscal year in which the Severance Date occurs. Such amount is referred to hereinafter as the “</w:t>
      </w:r>
      <w:r>
        <w:rPr>
          <w:rFonts w:ascii="Arial" w:cs="Arial" w:eastAsia="Arial" w:hAnsi="Arial"/>
          <w:sz w:val="18"/>
          <w:szCs w:val="18"/>
          <w:u w:val="single" w:color="auto"/>
          <w:color w:val="auto"/>
        </w:rPr>
        <w:t>Severance Benefit”</w:t>
      </w:r>
      <w:r>
        <w:rPr>
          <w:rFonts w:ascii="Arial" w:cs="Arial" w:eastAsia="Arial" w:hAnsi="Arial"/>
          <w:sz w:val="18"/>
          <w:szCs w:val="18"/>
          <w:color w:val="auto"/>
        </w:rPr>
        <w:t>. Subject to Section 17(b), the Company shall pay the Severance Benefit to the Executive in a lump sum in the month following the month in which the Executive’s Separation from Service (as such term is defined in Section 2) occurs.</w:t>
      </w:r>
    </w:p>
    <w:p>
      <w:pPr>
        <w:spacing w:after="0" w:line="191" w:lineRule="exact"/>
        <w:rPr>
          <w:rFonts w:ascii="Arial" w:cs="Arial" w:eastAsia="Arial" w:hAnsi="Arial"/>
          <w:sz w:val="18"/>
          <w:szCs w:val="18"/>
          <w:color w:val="auto"/>
        </w:rPr>
      </w:pPr>
    </w:p>
    <w:p>
      <w:pPr>
        <w:ind w:left="760" w:hanging="7"/>
        <w:spacing w:after="0" w:line="287" w:lineRule="auto"/>
        <w:tabs>
          <w:tab w:leader="none" w:pos="1472"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The Company will pay or reimburse the Executive for his premiums charged to continue medical coverage pursuant to the Consolidated Omnibus Budget Reconciliation Act (“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 at the same or reasonably equivalent medical coverage for the Executive (and, if applicable, the Executive’s eligible dependents) as in effect immediately prior to the Severance Date, to the extent that the Executive elects such continued coverage; provided that the Company’s obligation to make any payment or reimbursement pursuant to this clause (ii) shall, subject to Section 17(b), commence with continuation coverage for the month following the month in which the Executive’s Separation from Service occurs and shall cease with continuation coverage for the twenty fourth (24 th ) month following the month in which the Executive’s Separation from Service occurs (or, if earlier, shall cease upon the first to occur of the Executive’s death, the date the Executive becomes eligible for coverage under the health plan of a future employer, or the date the Company ceases to offer group medical coverage to its active executive employees or the Company is otherwise under no obligation to offer COBRA continuation coverage to the Executive). To the extent the Executive elects COBRA coverage, he shall notify the Company in writing of such election prior to such coverage taking effect and complete any other continuation coverage enrollment procedures the Company may then have in place.</w:t>
      </w:r>
    </w:p>
    <w:p>
      <w:pPr>
        <w:spacing w:after="0" w:line="168" w:lineRule="exact"/>
        <w:rPr>
          <w:rFonts w:ascii="Arial" w:cs="Arial" w:eastAsia="Arial" w:hAnsi="Arial"/>
          <w:sz w:val="16"/>
          <w:szCs w:val="16"/>
          <w:color w:val="auto"/>
        </w:rPr>
      </w:pPr>
    </w:p>
    <w:p>
      <w:pPr>
        <w:ind w:left="760" w:right="140" w:firstLine="33"/>
        <w:spacing w:after="0" w:line="259" w:lineRule="auto"/>
        <w:tabs>
          <w:tab w:leader="none" w:pos="1517"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Company will pay or reimburse the Executive for his premiums charged to continue term life insurance coverage provided by the Company for the Executive (and, if applicable, the Executive’s eligible dependents), on the terms and at the coverage levels in effect on the Severance Date, for a period of twenty fourth (24) months commencing with the month following the month in which the Executive’s Separation from Service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485775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83" w:name="page84"/>
    <w:bookmarkEnd w:id="83"/>
    <w:p>
      <w:pPr>
        <w:ind w:left="1260" w:hanging="7"/>
        <w:spacing w:after="0" w:line="285" w:lineRule="auto"/>
        <w:tabs>
          <w:tab w:leader="none" w:pos="1970" w:val="left"/>
        </w:tabs>
        <w:numPr>
          <w:ilvl w:val="1"/>
          <w:numId w:val="89"/>
        </w:numPr>
        <w:rPr>
          <w:rFonts w:ascii="Arial" w:cs="Arial" w:eastAsia="Arial" w:hAnsi="Arial"/>
          <w:sz w:val="16"/>
          <w:szCs w:val="16"/>
          <w:color w:val="auto"/>
        </w:rPr>
      </w:pPr>
      <w:r>
        <w:rPr>
          <w:rFonts w:ascii="Arial" w:cs="Arial" w:eastAsia="Arial" w:hAnsi="Arial"/>
          <w:sz w:val="16"/>
          <w:szCs w:val="16"/>
          <w:color w:val="auto"/>
        </w:rPr>
        <w:t>Each option and other equity-based award granted by the Company to the Executive, to the extent outstanding and unvested on the Severance Date, shall accelerate and be fully vested as of the Severance Date; provided, however, that, as to any such equity award that is subject to performance-based vesting requirements, the vesting of such award will continue to be governed by its terms, except that any service-based vesting requirement applicable to such award will be deemed to be fully satisfied as of the Severance Date. Each such award that is an option or similar award, to the extent outstanding and vested on the Severance Date (after giving effect to the foregoing acceleration provision), shall be exercisable after the Severance Date as follows: (x) to the extent such option or award was outstanding and vested on the date of the Change in Control, such option or award shall remain exercisable for the remainder of the original maximum term of such option or award, and (y) to the extent such option or award was unvested on the date of the Change in Control and vested at any time after the Change in Control and on or before the Severance Date (including any such option or award that vested pursuant to the foregoing acceleration provision), such option or award shall remain exercisable until the first to occur of (A) the last day of the original maximum term of such option or award, or (B) the date that is twenty fourth (24) months after the last day such option or award would have been exercisable in accordance with its terms following such a termination of the Executive’s employment. Notwithstanding the preceding sentence, any such option or award shall be subject to earlier termination in connection with a change in control of the Company and similar events as provided in the applicable plan and/or award agreement (provided that the Executive is given a reasonable opportunity to exercise such vested option or award prior to its termination.)</w:t>
      </w:r>
    </w:p>
    <w:p>
      <w:pPr>
        <w:spacing w:after="0" w:line="177" w:lineRule="exact"/>
        <w:rPr>
          <w:rFonts w:ascii="Arial" w:cs="Arial" w:eastAsia="Arial" w:hAnsi="Arial"/>
          <w:sz w:val="16"/>
          <w:szCs w:val="16"/>
          <w:color w:val="auto"/>
        </w:rPr>
      </w:pPr>
    </w:p>
    <w:p>
      <w:pPr>
        <w:ind w:left="600" w:firstLine="5"/>
        <w:spacing w:after="0" w:line="257" w:lineRule="auto"/>
        <w:tabs>
          <w:tab w:leader="none" w:pos="129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foregoing provisions of this Section 1.2 shall not affect: (i) the Executive’s receipt of benefits otherwise due terminated employees under group insurance coverage consistent with the terms of the applicable Company welfare benefit plan; (ii) the Executive’s rights under COBRA to continue participation in medical, dental, hospitalization and life insurance coverage; or (iii) the Executive’s receipt of benefits otherwise due in accordance with the terms of the Company’s 401(k) plan (if any) and any vested Company equity or incentive awards in accordance with the terms and conditions of such awards.</w:t>
      </w:r>
    </w:p>
    <w:p>
      <w:pPr>
        <w:spacing w:after="0" w:line="188" w:lineRule="exact"/>
        <w:rPr>
          <w:rFonts w:ascii="Arial" w:cs="Arial" w:eastAsia="Arial" w:hAnsi="Arial"/>
          <w:sz w:val="18"/>
          <w:szCs w:val="18"/>
          <w:color w:val="auto"/>
        </w:rPr>
      </w:pPr>
    </w:p>
    <w:p>
      <w:pPr>
        <w:ind w:left="600" w:right="80" w:firstLine="5"/>
        <w:spacing w:after="0" w:line="264" w:lineRule="auto"/>
        <w:tabs>
          <w:tab w:leader="none" w:pos="130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For avoidance of doubt, if the Executive is entitled to receive severance benefits in connection with a termination of employment under both this Agreement and any Severance Arrangement, the Executive shall be entitled to receive both the benefits provided in this Agreement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the benefits provided in such Severance Arrangement.</w:t>
      </w:r>
    </w:p>
    <w:p>
      <w:pPr>
        <w:spacing w:after="0" w:line="1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 xml:space="preserve">Release; No Duty to Mitigate </w:t>
      </w:r>
      <w:r>
        <w:rPr>
          <w:rFonts w:ascii="Arial" w:cs="Arial" w:eastAsia="Arial" w:hAnsi="Arial"/>
          <w:sz w:val="16"/>
          <w:szCs w:val="16"/>
          <w:b w:val="1"/>
          <w:bCs w:val="1"/>
          <w:color w:val="auto"/>
        </w:rPr>
        <w:t>.</w:t>
      </w:r>
    </w:p>
    <w:p>
      <w:pPr>
        <w:spacing w:after="0" w:line="229" w:lineRule="exact"/>
        <w:rPr>
          <w:sz w:val="20"/>
          <w:szCs w:val="20"/>
          <w:color w:val="auto"/>
        </w:rPr>
      </w:pPr>
    </w:p>
    <w:p>
      <w:pPr>
        <w:ind w:left="600" w:firstLine="5"/>
        <w:spacing w:after="0" w:line="255" w:lineRule="auto"/>
        <w:tabs>
          <w:tab w:leader="none" w:pos="129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This Section 1.3 shall apply notwithstanding anything else contained in this Agreement to the contrary. As a condition precedent to any Company obligation to the Executive pursuant to Section 1.2(b), the Executive shall, upon or promptly following his last day of employment with the Company (and in all events within twenty-one (21) days after his last day of employment with the Company), provide the Company with a valid, executed Release Agreement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such changes as the Company may determine to be required or reasonably advisable in order to make the release enforceable and otherwise compliant with applicable laws), and such Release Agreement shall have not been revoked by the Executive pursuant to any revocation rights afforded by applicable law.</w:t>
      </w:r>
    </w:p>
    <w:p>
      <w:pPr>
        <w:spacing w:after="0" w:line="189" w:lineRule="exact"/>
        <w:rPr>
          <w:rFonts w:ascii="Arial" w:cs="Arial" w:eastAsia="Arial" w:hAnsi="Arial"/>
          <w:sz w:val="18"/>
          <w:szCs w:val="18"/>
          <w:color w:val="auto"/>
        </w:rPr>
      </w:pPr>
    </w:p>
    <w:p>
      <w:pPr>
        <w:ind w:left="600" w:right="40" w:firstLine="5"/>
        <w:spacing w:after="0" w:line="273" w:lineRule="auto"/>
        <w:tabs>
          <w:tab w:leader="none" w:pos="1302"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and the Executive acknowledge and agree that there is no duty of the Executive to mitigate damages under this Agreement. All amounts paid to the Executive pursuant to Section 1.2 shall be paid without regard to whether the Executive has taken or takes actions to mitigate damages. The Executive agrees to resign, on the Severance Date, from the Company and any affiliate of the Company, as an officer and director of the Company, and as a fiduciary of any benefit plan of the Company or any affiliate of the Company (in each case, to the extent the Executive then has any such position), and to promptly execute and provide to the Company any further documentation, as requested by the Company, to confirm such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480695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680"/>
          </w:cols>
          <w:pgMar w:left="940" w:top="584" w:right="279" w:bottom="1440" w:gutter="0" w:footer="0" w:header="0"/>
        </w:sectPr>
      </w:pPr>
    </w:p>
    <w:bookmarkStart w:id="84" w:name="page85"/>
    <w:bookmarkEnd w:id="84"/>
    <w:p>
      <w:pPr>
        <w:ind w:left="572" w:hanging="572"/>
        <w:spacing w:after="0"/>
        <w:tabs>
          <w:tab w:leader="none" w:pos="57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 As used herein, the following terms shall have the meanings set forth below in this Section 2.</w:t>
      </w:r>
    </w:p>
    <w:p>
      <w:pPr>
        <w:spacing w:after="0" w:line="229" w:lineRule="exact"/>
        <w:rPr>
          <w:rFonts w:ascii="Arial" w:cs="Arial" w:eastAsia="Arial" w:hAnsi="Arial"/>
          <w:sz w:val="18"/>
          <w:szCs w:val="18"/>
          <w:b w:val="1"/>
          <w:bCs w:val="1"/>
          <w:color w:val="auto"/>
        </w:rPr>
      </w:pPr>
    </w:p>
    <w:p>
      <w:pPr>
        <w:ind w:left="652" w:right="60" w:hanging="4"/>
        <w:spacing w:after="0" w:line="276" w:lineRule="auto"/>
        <w:tabs>
          <w:tab w:leader="none" w:pos="1347"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xml:space="preserve"> ” means (i) any base salary of the Executive that had accrued but had not been paid (including accrued and unpaid vacation time) on or before the Severance Date; (ii) any annual bonus payable to the Executive (to the extent not previously paid) with respect to the fiscal year of the Company prior to the fiscal year in which the Severance Date occurs; and (iii) any reimbursement due to the Executive for expenses reasonably incurred by the Executive on or before the Severance Date and documented and pre-approved, to the extent applicable, in accordance with the Company’s expense reimbursement policies in effect at the applicable time.</w:t>
      </w:r>
    </w:p>
    <w:p>
      <w:pPr>
        <w:spacing w:after="0" w:line="172" w:lineRule="exact"/>
        <w:rPr>
          <w:rFonts w:ascii="Arial" w:cs="Arial" w:eastAsia="Arial" w:hAnsi="Arial"/>
          <w:sz w:val="17"/>
          <w:szCs w:val="17"/>
          <w:color w:val="auto"/>
        </w:rPr>
      </w:pPr>
    </w:p>
    <w:p>
      <w:pPr>
        <w:jc w:val="both"/>
        <w:ind w:left="652" w:right="40" w:hanging="4"/>
        <w:spacing w:after="0" w:line="259" w:lineRule="auto"/>
        <w:tabs>
          <w:tab w:leader="none" w:pos="13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“Cause” shall mean, as reasonably determined by the Board (excluding the Executive, if he is then a member of the Board) based on the information then known to it, that one or more of the following has occurred:</w:t>
      </w:r>
    </w:p>
    <w:p>
      <w:pPr>
        <w:spacing w:after="0" w:line="186" w:lineRule="exact"/>
        <w:rPr>
          <w:rFonts w:ascii="Arial" w:cs="Arial" w:eastAsia="Arial" w:hAnsi="Arial"/>
          <w:sz w:val="18"/>
          <w:szCs w:val="18"/>
          <w:color w:val="auto"/>
        </w:rPr>
      </w:pPr>
    </w:p>
    <w:p>
      <w:pPr>
        <w:ind w:left="1292" w:right="160" w:firstLine="5"/>
        <w:spacing w:after="0" w:line="277" w:lineRule="auto"/>
        <w:tabs>
          <w:tab w:leader="none" w:pos="1957"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Executive is convicted of, pled guilty or pled nolo contendere to a felony (under the laws of the United States or any relevant state, or a similar crime or offense under the applicable laws of any relevant foreign jurisdiction);</w:t>
      </w:r>
    </w:p>
    <w:p>
      <w:pPr>
        <w:spacing w:after="0" w:line="170" w:lineRule="exact"/>
        <w:rPr>
          <w:rFonts w:ascii="Arial" w:cs="Arial" w:eastAsia="Arial" w:hAnsi="Arial"/>
          <w:sz w:val="18"/>
          <w:szCs w:val="18"/>
          <w:color w:val="auto"/>
        </w:rPr>
      </w:pPr>
    </w:p>
    <w:p>
      <w:pPr>
        <w:ind w:left="1292" w:right="300" w:firstLine="5"/>
        <w:spacing w:after="0" w:line="277" w:lineRule="auto"/>
        <w:tabs>
          <w:tab w:leader="none" w:pos="2007"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Executive has engaged in acts of fraud, dishonesty or other acts of willful misconduct in the course of his duties hereunder that are materially and demonstrably injurious to the Company or any of its Subsidiaries;</w:t>
      </w:r>
    </w:p>
    <w:p>
      <w:pPr>
        <w:spacing w:after="0" w:line="170" w:lineRule="exact"/>
        <w:rPr>
          <w:rFonts w:ascii="Arial" w:cs="Arial" w:eastAsia="Arial" w:hAnsi="Arial"/>
          <w:sz w:val="18"/>
          <w:szCs w:val="18"/>
          <w:color w:val="auto"/>
        </w:rPr>
      </w:pPr>
    </w:p>
    <w:p>
      <w:pPr>
        <w:ind w:left="1292" w:firstLine="5"/>
        <w:spacing w:after="0" w:line="264" w:lineRule="auto"/>
        <w:tabs>
          <w:tab w:leader="none" w:pos="2012"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Executive willfully fails to perform or uphold his duties to the Company or any of its Subsidiaries and/or willfully fails to comply with reasonable directives of the Board and/or engages in manifestly unethical behavior that is materially injurious to the Company; or</w:t>
      </w:r>
    </w:p>
    <w:p>
      <w:pPr>
        <w:spacing w:after="0" w:line="181" w:lineRule="exact"/>
        <w:rPr>
          <w:rFonts w:ascii="Arial" w:cs="Arial" w:eastAsia="Arial" w:hAnsi="Arial"/>
          <w:sz w:val="18"/>
          <w:szCs w:val="18"/>
          <w:color w:val="auto"/>
        </w:rPr>
      </w:pPr>
    </w:p>
    <w:p>
      <w:pPr>
        <w:ind w:left="1292" w:right="200" w:firstLine="5"/>
        <w:spacing w:after="0" w:line="277" w:lineRule="auto"/>
        <w:tabs>
          <w:tab w:leader="none" w:pos="2002"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material breach by the Executive of this Agreement, the Confidentiality Agreement, or any other contract he is a party to with the Company or any of its Subsidiaries;</w:t>
      </w:r>
    </w:p>
    <w:p>
      <w:pPr>
        <w:spacing w:after="0" w:line="170" w:lineRule="exact"/>
        <w:rPr>
          <w:sz w:val="20"/>
          <w:szCs w:val="20"/>
          <w:color w:val="auto"/>
        </w:rPr>
      </w:pPr>
    </w:p>
    <w:p>
      <w:pPr>
        <w:ind w:left="652" w:right="80"/>
        <w:spacing w:after="0" w:line="302" w:lineRule="auto"/>
        <w:rPr>
          <w:sz w:val="20"/>
          <w:szCs w:val="20"/>
          <w:color w:val="auto"/>
        </w:rPr>
      </w:pPr>
      <w:r>
        <w:rPr>
          <w:rFonts w:ascii="Arial" w:cs="Arial" w:eastAsia="Arial" w:hAnsi="Arial"/>
          <w:sz w:val="16"/>
          <w:szCs w:val="16"/>
          <w:color w:val="auto"/>
        </w:rPr>
        <w:t>provided, however, that the Executive shall be provided with notice of any conduct claimed to constitute Cause and a reasonable opportunity of not less than thirty (30) days to cure such conduct (to the extent such conduct is reasonably capable of cure in the circumstances); and provided, further, that for purposes of this definition,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154" w:lineRule="exact"/>
        <w:rPr>
          <w:sz w:val="20"/>
          <w:szCs w:val="20"/>
          <w:color w:val="auto"/>
        </w:rPr>
      </w:pPr>
    </w:p>
    <w:p>
      <w:pPr>
        <w:ind w:left="1352" w:hanging="704"/>
        <w:spacing w:after="0"/>
        <w:tabs>
          <w:tab w:leader="none" w:pos="13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 means the occurrence of any of the following events:</w:t>
      </w:r>
    </w:p>
    <w:p>
      <w:pPr>
        <w:spacing w:after="0" w:line="225" w:lineRule="exact"/>
        <w:rPr>
          <w:rFonts w:ascii="Arial" w:cs="Arial" w:eastAsia="Arial" w:hAnsi="Arial"/>
          <w:sz w:val="18"/>
          <w:szCs w:val="18"/>
          <w:color w:val="auto"/>
        </w:rPr>
      </w:pPr>
    </w:p>
    <w:p>
      <w:pPr>
        <w:ind w:left="1292" w:right="120" w:firstLine="5"/>
        <w:spacing w:after="0" w:line="257" w:lineRule="auto"/>
        <w:tabs>
          <w:tab w:leader="none" w:pos="19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Any Person (as such term is used in Sections 13(d) and 14(d) of the Exchange Act), other than the Company, its Subsidiaries or any Company employee benefit plan (including any trustee of such plan acting as trustee), is or becomes the Beneficial Owner (as such term is defined for purposes of Rule 13d-3 under the Exchange Act), directly or indirectly, of securities of the Company representing more than thirty percent (30%) of the combined voting power of the then outstanding securities entitled to vote generally in the election of directors (“ </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of the Company; or</w:t>
      </w:r>
    </w:p>
    <w:p>
      <w:pPr>
        <w:spacing w:after="0" w:line="188" w:lineRule="exact"/>
        <w:rPr>
          <w:rFonts w:ascii="Arial" w:cs="Arial" w:eastAsia="Arial" w:hAnsi="Arial"/>
          <w:sz w:val="18"/>
          <w:szCs w:val="18"/>
          <w:color w:val="auto"/>
        </w:rPr>
      </w:pPr>
    </w:p>
    <w:p>
      <w:pPr>
        <w:ind w:left="1292" w:right="40" w:firstLine="5"/>
        <w:spacing w:after="0" w:line="257" w:lineRule="auto"/>
        <w:tabs>
          <w:tab w:leader="none" w:pos="2007"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Individuals who constitute the Board of the Company (the “ </w:t>
      </w:r>
      <w:r>
        <w:rPr>
          <w:rFonts w:ascii="Arial" w:cs="Arial" w:eastAsia="Arial" w:hAnsi="Arial"/>
          <w:sz w:val="18"/>
          <w:szCs w:val="18"/>
          <w:u w:val="single" w:color="auto"/>
          <w:color w:val="auto"/>
        </w:rPr>
        <w:t>Incumbent Directors</w:t>
      </w:r>
      <w:r>
        <w:rPr>
          <w:rFonts w:ascii="Arial" w:cs="Arial" w:eastAsia="Arial" w:hAnsi="Arial"/>
          <w:sz w:val="18"/>
          <w:szCs w:val="18"/>
          <w:color w:val="auto"/>
        </w:rPr>
        <w:t xml:space="preserve"> ”), as of the beginning of any twenty-four (24) month period commencing with the Effective Date of this Agreement, cease for any reason to constitute at least a majority of the directors. Notwithstanding the foregoing, any individual becoming a director subsequent to the beginning of such period, whose election or nomination for election by the Company’s stockholders, was approved by a vote of at least two-thirds (2/3) of the directors then comprising the Incumbent Directors, shall be, considered an Incumbent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487045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85" w:name="page86"/>
    <w:bookmarkEnd w:id="85"/>
    <w:p>
      <w:pPr>
        <w:ind w:left="644" w:right="80" w:firstLine="5"/>
        <w:spacing w:after="0" w:line="255" w:lineRule="auto"/>
        <w:tabs>
          <w:tab w:leader="none" w:pos="1409"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Consummation by the Company of a recapitalization, reorganization, merger, consolidation or other similar transaction (a “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 with respect to which all or substantially all of the individuals and entities who were the beneficial owners of the Voting Securities immediately prior such Business Combination (the “ </w:t>
      </w:r>
      <w:r>
        <w:rPr>
          <w:rFonts w:ascii="Arial" w:cs="Arial" w:eastAsia="Arial" w:hAnsi="Arial"/>
          <w:sz w:val="18"/>
          <w:szCs w:val="18"/>
          <w:u w:val="single" w:color="auto"/>
          <w:color w:val="auto"/>
        </w:rPr>
        <w:t>Incumbent Shareholders</w:t>
      </w:r>
      <w:r>
        <w:rPr>
          <w:rFonts w:ascii="Arial" w:cs="Arial" w:eastAsia="Arial" w:hAnsi="Arial"/>
          <w:sz w:val="18"/>
          <w:szCs w:val="18"/>
          <w:color w:val="auto"/>
        </w:rPr>
        <w:t xml:space="preserve"> ”) do not, following consummation of all transactions intended to constitute part of such Business Combination, beneficially own, directly or indirectly, fifty percent (50%) or more of the Voting Securities of the corporation, business trust or other entity resulting from or being the surviving entity in such Business Combination (the “ </w:t>
      </w:r>
      <w:r>
        <w:rPr>
          <w:rFonts w:ascii="Arial" w:cs="Arial" w:eastAsia="Arial" w:hAnsi="Arial"/>
          <w:sz w:val="18"/>
          <w:szCs w:val="18"/>
          <w:u w:val="single" w:color="auto"/>
          <w:color w:val="auto"/>
        </w:rPr>
        <w:t>Surviving Entity</w:t>
      </w:r>
      <w:r>
        <w:rPr>
          <w:rFonts w:ascii="Arial" w:cs="Arial" w:eastAsia="Arial" w:hAnsi="Arial"/>
          <w:sz w:val="18"/>
          <w:szCs w:val="18"/>
          <w:color w:val="auto"/>
        </w:rPr>
        <w:t xml:space="preserve"> ”), in substantially the same proportion as their ownership of such Voting Securities immediately prior to such Business Combination; or</w:t>
      </w:r>
    </w:p>
    <w:p>
      <w:pPr>
        <w:spacing w:after="0" w:line="189" w:lineRule="exact"/>
        <w:rPr>
          <w:rFonts w:ascii="Arial" w:cs="Arial" w:eastAsia="Arial" w:hAnsi="Arial"/>
          <w:sz w:val="18"/>
          <w:szCs w:val="18"/>
          <w:color w:val="auto"/>
        </w:rPr>
      </w:pPr>
    </w:p>
    <w:p>
      <w:pPr>
        <w:ind w:left="644" w:firstLine="5"/>
        <w:spacing w:after="0" w:line="257" w:lineRule="auto"/>
        <w:tabs>
          <w:tab w:leader="none" w:pos="1354"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or the sale or other disposition of all or substantially all of the assets of the Company, other than to a corporation, business trust or other entity with respect to which, following consummation of all transactions intended to constitute part of such sale or disposition, more than fifty percent (50%) of the combined Voting Securities is then owned beneficially, directly or indirectly, by the Incumbent Shareholders in substantially the same proportion as their ownership of the Voting Securities immediately prior to such sale or disposition.</w:t>
      </w:r>
    </w:p>
    <w:p>
      <w:pPr>
        <w:spacing w:after="0" w:line="188" w:lineRule="exact"/>
        <w:rPr>
          <w:sz w:val="20"/>
          <w:szCs w:val="20"/>
          <w:color w:val="auto"/>
        </w:rPr>
      </w:pPr>
    </w:p>
    <w:p>
      <w:pPr>
        <w:jc w:val="both"/>
        <w:ind w:left="4" w:right="140"/>
        <w:spacing w:after="0" w:line="264" w:lineRule="auto"/>
        <w:rPr>
          <w:sz w:val="20"/>
          <w:szCs w:val="20"/>
          <w:color w:val="auto"/>
        </w:rPr>
      </w:pPr>
      <w:r>
        <w:rPr>
          <w:rFonts w:ascii="Arial" w:cs="Arial" w:eastAsia="Arial" w:hAnsi="Arial"/>
          <w:sz w:val="18"/>
          <w:szCs w:val="18"/>
          <w:color w:val="auto"/>
        </w:rPr>
        <w:t xml:space="preserve">Notwithstanding the foregoing, a transaction shall not constitute a Change in Control unless it is a “change in the ownership or effective control” of the Company, or a change “in the ownership of a substantial portion of the assets” of the Company within the meaning of Section 409A of the U.S. Internal Revenue Code of 1986, as amended (“ </w:t>
      </w: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w:t>
      </w:r>
    </w:p>
    <w:p>
      <w:pPr>
        <w:spacing w:after="0" w:line="181" w:lineRule="exact"/>
        <w:rPr>
          <w:sz w:val="20"/>
          <w:szCs w:val="20"/>
          <w:color w:val="auto"/>
        </w:rPr>
      </w:pPr>
    </w:p>
    <w:p>
      <w:pPr>
        <w:ind w:left="4" w:right="120"/>
        <w:spacing w:after="0" w:line="264" w:lineRule="auto"/>
        <w:rPr>
          <w:sz w:val="20"/>
          <w:szCs w:val="20"/>
          <w:color w:val="auto"/>
        </w:rPr>
      </w:pPr>
      <w:r>
        <w:rPr>
          <w:rFonts w:ascii="Arial" w:cs="Arial" w:eastAsia="Arial" w:hAnsi="Arial"/>
          <w:sz w:val="18"/>
          <w:szCs w:val="18"/>
          <w:color w:val="auto"/>
        </w:rPr>
        <w:t>Only the first Change in Control that occurs after the Effective Date shall be considered a Change in Control for purposes of this Agreement; any transaction or occurrence after the first Change in Control that would otherwise constitute such a Change in Control shall not constitute a Change in Control for purposes of this Agreement.</w:t>
      </w:r>
    </w:p>
    <w:p>
      <w:pPr>
        <w:spacing w:after="0" w:line="181" w:lineRule="exact"/>
        <w:rPr>
          <w:sz w:val="20"/>
          <w:szCs w:val="20"/>
          <w:color w:val="auto"/>
        </w:rPr>
      </w:pPr>
    </w:p>
    <w:p>
      <w:pPr>
        <w:ind w:left="4" w:right="100" w:hanging="4"/>
        <w:spacing w:after="0" w:line="276" w:lineRule="auto"/>
        <w:tabs>
          <w:tab w:leader="none" w:pos="70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 has the meaning ascribed to such term (or similar term) in the Employment Agreement or, if there is no Employment Agreement then in effect or if such agreement does not include a definition of such term (or similar term), “Disability” means a physical or mental impairment which, as reasonably determined by the Board, renders the Executive unable to perform the essential functions of his employment with the Company, even with reasonable accommodation that does not impose an undue hardship on the Company, for more than 90 days in any 180-day period, unless a longer period is required by federal or state law, in which case that longer period would apply.</w:t>
      </w:r>
    </w:p>
    <w:p>
      <w:pPr>
        <w:spacing w:after="0" w:line="172" w:lineRule="exact"/>
        <w:rPr>
          <w:rFonts w:ascii="Arial" w:cs="Arial" w:eastAsia="Arial" w:hAnsi="Arial"/>
          <w:sz w:val="17"/>
          <w:szCs w:val="17"/>
          <w:color w:val="auto"/>
        </w:rPr>
      </w:pPr>
    </w:p>
    <w:p>
      <w:pPr>
        <w:ind w:left="704" w:hanging="704"/>
        <w:spacing w:after="0"/>
        <w:tabs>
          <w:tab w:leader="none" w:pos="7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means the Securities Exchange Act of 1934, as amended.</w:t>
      </w:r>
    </w:p>
    <w:p>
      <w:pPr>
        <w:spacing w:after="0" w:line="225" w:lineRule="exact"/>
        <w:rPr>
          <w:rFonts w:ascii="Arial" w:cs="Arial" w:eastAsia="Arial" w:hAnsi="Arial"/>
          <w:sz w:val="18"/>
          <w:szCs w:val="18"/>
          <w:color w:val="auto"/>
        </w:rPr>
      </w:pPr>
    </w:p>
    <w:p>
      <w:pPr>
        <w:ind w:left="4" w:right="40" w:hanging="4"/>
        <w:spacing w:after="0" w:line="264" w:lineRule="auto"/>
        <w:tabs>
          <w:tab w:leader="none" w:pos="6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 has the meaning ascribed to such term (or similar term) in the Employment Agreement or, if there is no Employment Agreement then in effect or if such agreement does not include a definition of such term (or similar term), “Good Reason” shall mean the occurrence of one or more of the following (without the Executive’s express written consent):</w:t>
      </w:r>
    </w:p>
    <w:p>
      <w:pPr>
        <w:spacing w:after="0" w:line="181" w:lineRule="exact"/>
        <w:rPr>
          <w:rFonts w:ascii="Arial" w:cs="Arial" w:eastAsia="Arial" w:hAnsi="Arial"/>
          <w:sz w:val="18"/>
          <w:szCs w:val="18"/>
          <w:color w:val="auto"/>
        </w:rPr>
      </w:pPr>
    </w:p>
    <w:p>
      <w:pPr>
        <w:ind w:left="644" w:right="160" w:firstLine="5"/>
        <w:spacing w:after="0" w:line="342" w:lineRule="auto"/>
        <w:tabs>
          <w:tab w:leader="none" w:pos="1354"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material diminution in the Executive’s authority, duties or responsibilities (provided, that a change in the Executive’s title or in the individual(s) to whom the Executive reports resulting from a Change in Control shall not in and of itself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445770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86" w:name="page87"/>
    <w:bookmarkEnd w:id="86"/>
    <w:p>
      <w:pPr>
        <w:ind w:left="1292" w:right="560" w:firstLine="5"/>
        <w:spacing w:after="0" w:line="277" w:lineRule="auto"/>
        <w:tabs>
          <w:tab w:leader="none" w:pos="200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material diminution by the Company of the Executive’s rate of base salary or annual target bonus opportunity as in effect immediately prior to such reduction;</w:t>
      </w:r>
    </w:p>
    <w:p>
      <w:pPr>
        <w:spacing w:after="0" w:line="170" w:lineRule="exact"/>
        <w:rPr>
          <w:rFonts w:ascii="Arial" w:cs="Arial" w:eastAsia="Arial" w:hAnsi="Arial"/>
          <w:sz w:val="18"/>
          <w:szCs w:val="18"/>
          <w:color w:val="auto"/>
        </w:rPr>
      </w:pPr>
    </w:p>
    <w:p>
      <w:pPr>
        <w:ind w:left="1292" w:right="20" w:firstLine="5"/>
        <w:spacing w:after="0" w:line="264" w:lineRule="auto"/>
        <w:tabs>
          <w:tab w:leader="none" w:pos="201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in the location of the Executive’s principal workplace for the Company to a location that is more than fifty (50) miles from the Executive’s principal workplace as of the Effective Date and that results in an increased commute for the Executive from his or her principal residence (except for reasonable periods of required travel on Company business);</w:t>
      </w:r>
    </w:p>
    <w:p>
      <w:pPr>
        <w:spacing w:after="0" w:line="181" w:lineRule="exact"/>
        <w:rPr>
          <w:rFonts w:ascii="Arial" w:cs="Arial" w:eastAsia="Arial" w:hAnsi="Arial"/>
          <w:sz w:val="18"/>
          <w:szCs w:val="18"/>
          <w:color w:val="auto"/>
        </w:rPr>
      </w:pPr>
    </w:p>
    <w:p>
      <w:pPr>
        <w:ind w:left="1292" w:right="620" w:firstLine="5"/>
        <w:spacing w:after="0" w:line="277" w:lineRule="auto"/>
        <w:tabs>
          <w:tab w:leader="none" w:pos="200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failure of the Company to obtain the agreement from any successor to the Company to assume and agree to perform this Agreement as required by Section 5; or</w:t>
      </w:r>
    </w:p>
    <w:p>
      <w:pPr>
        <w:spacing w:after="0" w:line="170" w:lineRule="exact"/>
        <w:rPr>
          <w:rFonts w:ascii="Arial" w:cs="Arial" w:eastAsia="Arial" w:hAnsi="Arial"/>
          <w:sz w:val="18"/>
          <w:szCs w:val="18"/>
          <w:color w:val="auto"/>
        </w:rPr>
      </w:pPr>
    </w:p>
    <w:p>
      <w:pPr>
        <w:ind w:left="1992" w:hanging="695"/>
        <w:spacing w:after="0"/>
        <w:tabs>
          <w:tab w:leader="none" w:pos="19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material breach by the Company of this Agreement or any other agreement with the Executive;</w:t>
      </w:r>
    </w:p>
    <w:p>
      <w:pPr>
        <w:spacing w:after="0" w:line="225" w:lineRule="exact"/>
        <w:rPr>
          <w:sz w:val="20"/>
          <w:szCs w:val="20"/>
          <w:color w:val="auto"/>
        </w:rPr>
      </w:pPr>
    </w:p>
    <w:p>
      <w:pPr>
        <w:ind w:left="652" w:right="160"/>
        <w:spacing w:after="0" w:line="302" w:lineRule="auto"/>
        <w:rPr>
          <w:sz w:val="20"/>
          <w:szCs w:val="20"/>
          <w:color w:val="auto"/>
        </w:rPr>
      </w:pPr>
      <w:r>
        <w:rPr>
          <w:rFonts w:ascii="Arial" w:cs="Arial" w:eastAsia="Arial" w:hAnsi="Arial"/>
          <w:sz w:val="16"/>
          <w:szCs w:val="16"/>
          <w:color w:val="auto"/>
        </w:rPr>
        <w:t>provided, however, that any such condition shall not constitute “Good Reason” unless (x) the Executive provides written notice to the Company of the condition claimed to constitute Good Reason within ninety (90) days of the initial existence of such condition, (y) the Company fails to remedy such condition within thirty (30) days of receiving such written notice thereof, and (z) the termination of the Executive’s employment with the Company occurs not more than one (1) year following the initial existence of the condition claimed to constitute “Good Reason.”</w:t>
      </w:r>
    </w:p>
    <w:p>
      <w:pPr>
        <w:spacing w:after="0" w:line="154" w:lineRule="exact"/>
        <w:rPr>
          <w:sz w:val="20"/>
          <w:szCs w:val="20"/>
          <w:color w:val="auto"/>
        </w:rPr>
      </w:pPr>
    </w:p>
    <w:p>
      <w:pPr>
        <w:jc w:val="both"/>
        <w:ind w:left="652" w:right="220" w:hanging="4"/>
        <w:spacing w:after="0" w:line="264" w:lineRule="auto"/>
        <w:tabs>
          <w:tab w:leader="none" w:pos="135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xml:space="preserve"> ” shall mean (i) a termination of the Executive’s employment by the Company without Cause (and other than due to Executive’s death or in connection with a good faith determination by the Board that the Executive has a Disability), or (ii) a resignation by the Executive for Good Reason.</w:t>
      </w:r>
    </w:p>
    <w:p>
      <w:pPr>
        <w:spacing w:after="0" w:line="181" w:lineRule="exact"/>
        <w:rPr>
          <w:rFonts w:ascii="Arial" w:cs="Arial" w:eastAsia="Arial" w:hAnsi="Arial"/>
          <w:sz w:val="18"/>
          <w:szCs w:val="18"/>
          <w:color w:val="auto"/>
        </w:rPr>
      </w:pPr>
    </w:p>
    <w:p>
      <w:pPr>
        <w:jc w:val="both"/>
        <w:ind w:left="652" w:right="160" w:hanging="4"/>
        <w:spacing w:after="0" w:line="264" w:lineRule="auto"/>
        <w:tabs>
          <w:tab w:leader="none" w:pos="134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As used herein, a “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xml:space="preserve"> ” occurs when the Executive dies, retires, or otherwise has a termination of employment with the Company that constitutes a “separation from service” within the meaning of Treasury Regulation Section 1.409A-1(h)(1), without regard to the optional alternative definitions available thereunder.</w:t>
      </w:r>
    </w:p>
    <w:p>
      <w:pPr>
        <w:spacing w:after="0" w:line="181" w:lineRule="exact"/>
        <w:rPr>
          <w:rFonts w:ascii="Arial" w:cs="Arial" w:eastAsia="Arial" w:hAnsi="Arial"/>
          <w:sz w:val="18"/>
          <w:szCs w:val="18"/>
          <w:color w:val="auto"/>
        </w:rPr>
      </w:pPr>
    </w:p>
    <w:p>
      <w:pPr>
        <w:ind w:left="652" w:right="300" w:hanging="4"/>
        <w:spacing w:after="0" w:line="277" w:lineRule="auto"/>
        <w:tabs>
          <w:tab w:leader="none" w:pos="1317"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 means, with respect to any Person, any corporation or other entity a majority of whose outstanding voting stock or voting power is beneficially owned directly or indirectly by such Person.</w:t>
      </w:r>
    </w:p>
    <w:p>
      <w:pPr>
        <w:spacing w:after="0" w:line="166" w:lineRule="exact"/>
        <w:rPr>
          <w:rFonts w:ascii="Arial" w:cs="Arial" w:eastAsia="Arial" w:hAnsi="Arial"/>
          <w:sz w:val="18"/>
          <w:szCs w:val="18"/>
          <w:color w:val="auto"/>
        </w:rPr>
      </w:pPr>
    </w:p>
    <w:p>
      <w:pPr>
        <w:ind w:left="572" w:hanging="572"/>
        <w:spacing w:after="0"/>
        <w:tabs>
          <w:tab w:leader="none" w:pos="57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 Section 280G</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right="120" w:hanging="4"/>
        <w:spacing w:after="0" w:line="264" w:lineRule="auto"/>
        <w:tabs>
          <w:tab w:leader="none" w:pos="13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the Company may withhold (or cause there to be withheld, as the case may be) from any amounts otherwise due or payable under or pursuant to this Agreement such federal, state and local income, employment, or other taxes as may be required to be withheld pursuant to any applicable law or regulation.</w:t>
      </w:r>
    </w:p>
    <w:p>
      <w:pPr>
        <w:spacing w:after="0" w:line="181" w:lineRule="exact"/>
        <w:rPr>
          <w:rFonts w:ascii="Arial" w:cs="Arial" w:eastAsia="Arial" w:hAnsi="Arial"/>
          <w:sz w:val="18"/>
          <w:szCs w:val="18"/>
          <w:color w:val="auto"/>
        </w:rPr>
      </w:pPr>
    </w:p>
    <w:p>
      <w:pPr>
        <w:ind w:left="652" w:hanging="4"/>
        <w:spacing w:after="0" w:line="284" w:lineRule="auto"/>
        <w:tabs>
          <w:tab w:leader="none" w:pos="1357"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to the extent that the payments and benefits provided under this Agreement and benefits provided to, or for the benefit of, the Executive under any other Company plan or agreement (such payments or benefits are collectively referred to as the “ </w:t>
      </w: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 would be subject to the excise tax (the “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 imposed under Section 4999 of the Internal Revenue Code of 1986, as amended (the “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 the Benefits shall be reduced (but not below zero) if and to the extent that a reduction in the Benefits would result in the Executive retaining a larger amount, on an after-tax basis (taking into account federal, state and local income taxes and the Excise Tax), than if the Executive received all of the Benefits (such reduced amount is referred to hereinafter as the “ </w:t>
      </w:r>
      <w:r>
        <w:rPr>
          <w:rFonts w:ascii="Arial" w:cs="Arial" w:eastAsia="Arial" w:hAnsi="Arial"/>
          <w:sz w:val="16"/>
          <w:szCs w:val="16"/>
          <w:u w:val="single" w:color="auto"/>
          <w:color w:val="auto"/>
        </w:rPr>
        <w:t>Limited Benefit Amount</w:t>
      </w:r>
      <w:r>
        <w:rPr>
          <w:rFonts w:ascii="Arial" w:cs="Arial" w:eastAsia="Arial" w:hAnsi="Arial"/>
          <w:sz w:val="16"/>
          <w:szCs w:val="16"/>
          <w:color w:val="auto"/>
        </w:rPr>
        <w:t xml:space="preserve"> ”). Unless the Executive shall have given prior written notice (to the extent such a notice does not result in any tax liabilities under Section 409A of the Code) specifying a different order to the Company to effectuate the Limited Benefit Amount, the Company shall reduce or eliminate the Benefits by first reducing or eliminating those payments or benefits which are not payable in cash and then by reducing or eliminating cash payments, in each case in reverse order beginning with payments or benefits which are to be paid the farthest in time from the Determination (as hereinafter defined). Any notice given by the Executive pursuant to the preceding sentence shall take precedence over the provisions of any other plan, arrangement or agreement governing the Executive’s rights and entitlements to any benefits or compensation. A determination as to whether the Benefits shall be reduced to the Limited Benefit Amount pursuant to this Agreement and the amount of such Limited Benefit Amount shall be made by Company’s independent public accountants or another certified public accounting firm of national reputation designated by the Company (the “ </w:t>
      </w:r>
      <w:r>
        <w:rPr>
          <w:rFonts w:ascii="Arial" w:cs="Arial" w:eastAsia="Arial" w:hAnsi="Arial"/>
          <w:sz w:val="16"/>
          <w:szCs w:val="16"/>
          <w:u w:val="single" w:color="auto"/>
          <w:color w:val="auto"/>
        </w:rPr>
        <w:t>Accounting Firm</w:t>
      </w:r>
      <w:r>
        <w:rPr>
          <w:rFonts w:ascii="Arial" w:cs="Arial" w:eastAsia="Arial" w:hAnsi="Arial"/>
          <w:sz w:val="16"/>
          <w:szCs w:val="16"/>
          <w:color w:val="auto"/>
        </w:rPr>
        <w:t xml:space="preserve"> ”) at the Company’s expense. The Accounting Firm shall provide its determination (the “ </w:t>
      </w:r>
      <w:r>
        <w:rPr>
          <w:rFonts w:ascii="Arial" w:cs="Arial" w:eastAsia="Arial" w:hAnsi="Arial"/>
          <w:sz w:val="16"/>
          <w:szCs w:val="16"/>
          <w:u w:val="single" w:color="auto"/>
          <w:color w:val="auto"/>
        </w:rPr>
        <w:t>Determination</w:t>
      </w:r>
      <w:r>
        <w:rPr>
          <w:rFonts w:ascii="Arial" w:cs="Arial" w:eastAsia="Arial" w:hAnsi="Arial"/>
          <w:sz w:val="16"/>
          <w:szCs w:val="16"/>
          <w:color w:val="auto"/>
        </w:rPr>
        <w:t xml:space="preserve"> ”), together with detailed supporting calculations and documentation to Company and Executive within five (5) days of the date of termination of the Executive’s employment, if applicable, or such other time as requested by Company or the Executive (provided the Executive reasonably believes that any of the Benefits may be subject to the Excise Tax), and if the Accounting Firm determines that no Excise Tax is payable by the Executive with respect to any Benefits, it shall furnish the Executive with an opinion reasonably acceptable to the Executive that no Excise Tax will be imposed with respect to any such Benefits. Unless the Executive provides written notice to Company within ten (10) days of the delivery of the Determination to the Executive that he disputes such Determination, the Determination shall be binding, final and conclusive upon Company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584" w:right="239" w:bottom="1440" w:gutter="0" w:footer="0" w:header="0"/>
        </w:sectPr>
      </w:pPr>
    </w:p>
    <w:bookmarkStart w:id="87" w:name="page88"/>
    <w:bookmarkEnd w:id="87"/>
    <w:p>
      <w:pPr>
        <w:ind w:left="572" w:hanging="572"/>
        <w:spacing w:after="0" w:line="266" w:lineRule="auto"/>
        <w:tabs>
          <w:tab w:leader="none" w:pos="5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Reaffirmation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Executive hereby reaffirms his obligations under the confidentiality and other restrictive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Confidential Information Agreement between the Executive and the Company dated April 6, 2009 (the “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 as in effect on the Effective Date.</w:t>
      </w:r>
    </w:p>
    <w:p>
      <w:pPr>
        <w:spacing w:after="0" w:line="176" w:lineRule="exact"/>
        <w:rPr>
          <w:rFonts w:ascii="Arial" w:cs="Arial" w:eastAsia="Arial" w:hAnsi="Arial"/>
          <w:sz w:val="18"/>
          <w:szCs w:val="18"/>
          <w:b w:val="1"/>
          <w:bCs w:val="1"/>
          <w:color w:val="auto"/>
        </w:rPr>
      </w:pPr>
    </w:p>
    <w:p>
      <w:pPr>
        <w:ind w:left="572" w:hanging="572"/>
        <w:spacing w:after="0"/>
        <w:tabs>
          <w:tab w:leader="none" w:pos="5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64" w:lineRule="auto"/>
        <w:tabs>
          <w:tab w:leader="none" w:pos="134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1" w:lineRule="exact"/>
        <w:rPr>
          <w:rFonts w:ascii="Arial" w:cs="Arial" w:eastAsia="Arial" w:hAnsi="Arial"/>
          <w:sz w:val="18"/>
          <w:szCs w:val="18"/>
          <w:color w:val="auto"/>
        </w:rPr>
      </w:pPr>
    </w:p>
    <w:p>
      <w:pPr>
        <w:ind w:left="652" w:right="20" w:hanging="4"/>
        <w:spacing w:after="0" w:line="255" w:lineRule="auto"/>
        <w:tabs>
          <w:tab w:leader="none" w:pos="135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 Without limiting the generality of the preceding sentence,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or assignee, as applicable, which assumes and agrees to perform this Agreement by operation of law or otherwise.</w:t>
      </w:r>
    </w:p>
    <w:p>
      <w:pPr>
        <w:spacing w:after="0" w:line="189" w:lineRule="exact"/>
        <w:rPr>
          <w:rFonts w:ascii="Arial" w:cs="Arial" w:eastAsia="Arial" w:hAnsi="Arial"/>
          <w:sz w:val="18"/>
          <w:szCs w:val="18"/>
          <w:color w:val="auto"/>
        </w:rPr>
      </w:pPr>
    </w:p>
    <w:p>
      <w:pPr>
        <w:ind w:left="572" w:right="280" w:hanging="572"/>
        <w:spacing w:after="0" w:line="314" w:lineRule="auto"/>
        <w:tabs>
          <w:tab w:leader="none" w:pos="572"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Number and Gender; Examples</w:t>
      </w:r>
      <w:r>
        <w:rPr>
          <w:rFonts w:ascii="Arial" w:cs="Arial" w:eastAsia="Arial" w:hAnsi="Arial"/>
          <w:sz w:val="16"/>
          <w:szCs w:val="16"/>
          <w:b w:val="1"/>
          <w:bCs w:val="1"/>
          <w:color w:val="auto"/>
        </w:rPr>
        <w:t xml:space="preserve"> . </w:t>
      </w:r>
      <w:r>
        <w:rPr>
          <w:rFonts w:ascii="Arial" w:cs="Arial" w:eastAsia="Arial" w:hAnsi="Arial"/>
          <w:sz w:val="16"/>
          <w:szCs w:val="16"/>
          <w:color w:val="auto"/>
        </w:rPr>
        <w:t>Where the context requires, the singular shall include the plural, the plural shall include the singular,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gender shall include all other genders. Where specific language is used to clarify by example a general statement contained herein, such specific language shall not be deemed to modify, limit or restrict in any manner the construction of the general statement to which it relates.</w:t>
      </w:r>
    </w:p>
    <w:p>
      <w:pPr>
        <w:spacing w:after="0" w:line="142" w:lineRule="exact"/>
        <w:rPr>
          <w:rFonts w:ascii="Arial" w:cs="Arial" w:eastAsia="Arial" w:hAnsi="Arial"/>
          <w:sz w:val="16"/>
          <w:szCs w:val="16"/>
          <w:b w:val="1"/>
          <w:bCs w:val="1"/>
          <w:color w:val="auto"/>
        </w:rPr>
      </w:pPr>
    </w:p>
    <w:p>
      <w:pPr>
        <w:ind w:left="572" w:right="640" w:hanging="572"/>
        <w:spacing w:after="0" w:line="347" w:lineRule="auto"/>
        <w:tabs>
          <w:tab w:leader="none" w:pos="572"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Headings</w:t>
      </w:r>
      <w:r>
        <w:rPr>
          <w:rFonts w:ascii="Arial" w:cs="Arial" w:eastAsia="Arial" w:hAnsi="Arial"/>
          <w:sz w:val="16"/>
          <w:szCs w:val="16"/>
          <w:b w:val="1"/>
          <w:bCs w:val="1"/>
          <w:color w:val="auto"/>
        </w:rPr>
        <w:t xml:space="preserve"> . </w:t>
      </w:r>
      <w:r>
        <w:rPr>
          <w:rFonts w:ascii="Arial" w:cs="Arial" w:eastAsia="Arial" w:hAnsi="Arial"/>
          <w:sz w:val="16"/>
          <w:szCs w:val="16"/>
          <w:color w:val="auto"/>
        </w:rPr>
        <w:t>The section headings of, and titles of paragraphs and subparagraphs contained in, this Agreement are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convenience only, and they neither form a part of this Agreement nor are they to be used in the construction or interpretation thereof.</w:t>
      </w:r>
    </w:p>
    <w:p>
      <w:pPr>
        <w:spacing w:after="0" w:line="116" w:lineRule="exact"/>
        <w:rPr>
          <w:rFonts w:ascii="Arial" w:cs="Arial" w:eastAsia="Arial" w:hAnsi="Arial"/>
          <w:sz w:val="16"/>
          <w:szCs w:val="16"/>
          <w:b w:val="1"/>
          <w:bCs w:val="1"/>
          <w:color w:val="auto"/>
        </w:rPr>
      </w:pPr>
    </w:p>
    <w:p>
      <w:pPr>
        <w:ind w:left="572" w:hanging="572"/>
        <w:spacing w:after="0" w:line="266" w:lineRule="auto"/>
        <w:tabs>
          <w:tab w:leader="none" w:pos="57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shall be deemed to have been executed and delivered within the State of Maryland, and the rights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hereunder shall be construed and enforced in accordance with, and governed by, the laws of the State of Maryland without regard to principles of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481330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72"/>
          </w:cols>
          <w:pgMar w:left="248" w:top="580" w:right="279" w:bottom="1440" w:gutter="0" w:footer="0" w:header="0"/>
        </w:sectPr>
      </w:pPr>
    </w:p>
    <w:bookmarkStart w:id="88" w:name="page89"/>
    <w:bookmarkEnd w:id="88"/>
    <w:p>
      <w:pPr>
        <w:jc w:val="both"/>
        <w:ind w:left="572" w:right="680" w:hanging="572"/>
        <w:spacing w:after="0" w:line="266" w:lineRule="auto"/>
        <w:tabs>
          <w:tab w:leader="none" w:pos="5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 </w:t>
      </w:r>
      <w:r>
        <w:rPr>
          <w:rFonts w:ascii="Arial" w:cs="Arial" w:eastAsia="Arial" w:hAnsi="Arial"/>
          <w:sz w:val="18"/>
          <w:szCs w:val="18"/>
          <w:color w:val="auto"/>
        </w:rPr>
        <w:t>If any provision of this Agreement or the application thereof is held invalid, the invalidity shall not affect other provisions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of this Agreement which can be given effect without the invalid provisions or applications and to this end the provisions of this Agreement are declared to be severable.</w:t>
      </w:r>
    </w:p>
    <w:p>
      <w:pPr>
        <w:spacing w:after="0" w:line="176" w:lineRule="exact"/>
        <w:rPr>
          <w:rFonts w:ascii="Arial" w:cs="Arial" w:eastAsia="Arial" w:hAnsi="Arial"/>
          <w:sz w:val="18"/>
          <w:szCs w:val="18"/>
          <w:b w:val="1"/>
          <w:bCs w:val="1"/>
          <w:color w:val="auto"/>
        </w:rPr>
      </w:pPr>
    </w:p>
    <w:p>
      <w:pPr>
        <w:ind w:left="572" w:hanging="572"/>
        <w:spacing w:after="0" w:line="288" w:lineRule="auto"/>
        <w:tabs>
          <w:tab w:leader="none" w:pos="57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(and the other documents referred to herein) embodies the entire agreement of the parties hereto respecting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matters within its scope. This Agreement supersedes all prior and contemporaneous agreements of the parties hereto that directly or indirectly bears upon the subject matter hereof and any other written or oral agreement relating to the subject matter hereof existing between the parties (including, without limitation, the Existing Agreement) is expressly canceled. The Existing Agreement is hereby amended in its entirety and restated herein. All provisions of, rights granted under and covenants made in the Existing Agreement are hereby waived, released and superseded in their entirety and shall have no further force or effect. Any prior negotiations, correspondence, agreements, proposals or understandings relating to the subject matter hereof shall be deemed to have been merged into this Agreement, and to the extent inconsistent herewith, such negotiations, correspondence, agreements, proposals, or understandings shall be deemed to be of no force or effect. There are no representations, warranties, or agreements, whether express or implied, or oral or written, with respect to the subject matter hereof, except as expressly set forth herein. Notwithstanding anything above in this Section 10 to the contrary, and for purposes of clarity, the Confidentiality Agreement, as well as the Company’s rights under any trade secret, confidentiality, inventions or similar agreement or policy, are not integrated into this Agreement and shall continue in effect.</w:t>
      </w:r>
    </w:p>
    <w:p>
      <w:pPr>
        <w:spacing w:after="0" w:line="164" w:lineRule="exact"/>
        <w:rPr>
          <w:rFonts w:ascii="Arial" w:cs="Arial" w:eastAsia="Arial" w:hAnsi="Arial"/>
          <w:sz w:val="16"/>
          <w:szCs w:val="16"/>
          <w:b w:val="1"/>
          <w:bCs w:val="1"/>
          <w:color w:val="auto"/>
        </w:rPr>
      </w:pPr>
    </w:p>
    <w:p>
      <w:pPr>
        <w:ind w:left="572" w:right="180" w:hanging="572"/>
        <w:spacing w:after="0" w:line="282" w:lineRule="auto"/>
        <w:tabs>
          <w:tab w:leader="none" w:pos="5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Modifications</w:t>
      </w:r>
      <w:r>
        <w:rPr>
          <w:rFonts w:ascii="Arial" w:cs="Arial" w:eastAsia="Arial" w:hAnsi="Arial"/>
          <w:sz w:val="18"/>
          <w:szCs w:val="18"/>
          <w:b w:val="1"/>
          <w:bCs w:val="1"/>
          <w:color w:val="auto"/>
        </w:rPr>
        <w:t xml:space="preserve"> . </w:t>
      </w:r>
      <w:r>
        <w:rPr>
          <w:rFonts w:ascii="Arial" w:cs="Arial" w:eastAsia="Arial" w:hAnsi="Arial"/>
          <w:sz w:val="18"/>
          <w:szCs w:val="18"/>
          <w:color w:val="auto"/>
        </w:rPr>
        <w:t>This Agreement may not be amended, modified or changed (in whole or in part), except by a formal, definitive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referring to this Agreement, which agreement is executed by both of the parties hereto.</w:t>
      </w:r>
    </w:p>
    <w:p>
      <w:pPr>
        <w:spacing w:after="0" w:line="161" w:lineRule="exact"/>
        <w:rPr>
          <w:rFonts w:ascii="Arial" w:cs="Arial" w:eastAsia="Arial" w:hAnsi="Arial"/>
          <w:sz w:val="18"/>
          <w:szCs w:val="18"/>
          <w:b w:val="1"/>
          <w:bCs w:val="1"/>
          <w:color w:val="auto"/>
        </w:rPr>
      </w:pPr>
    </w:p>
    <w:p>
      <w:pPr>
        <w:ind w:left="572" w:right="100" w:hanging="572"/>
        <w:spacing w:after="0" w:line="282" w:lineRule="auto"/>
        <w:tabs>
          <w:tab w:leader="none" w:pos="57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 </w:t>
      </w:r>
      <w:r>
        <w:rPr>
          <w:rFonts w:ascii="Arial" w:cs="Arial" w:eastAsia="Arial" w:hAnsi="Arial"/>
          <w:sz w:val="18"/>
          <w:szCs w:val="18"/>
          <w:color w:val="auto"/>
        </w:rPr>
        <w:t>No waiver of any breach of any term or provision of this Agreement shall be construed to be, nor shall be, a waiver of any other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No waiver shall be binding unless in writing and signed by the party waiving the breach.</w:t>
      </w:r>
    </w:p>
    <w:p>
      <w:pPr>
        <w:spacing w:after="0" w:line="161" w:lineRule="exact"/>
        <w:rPr>
          <w:rFonts w:ascii="Arial" w:cs="Arial" w:eastAsia="Arial" w:hAnsi="Arial"/>
          <w:sz w:val="18"/>
          <w:szCs w:val="18"/>
          <w:b w:val="1"/>
          <w:bCs w:val="1"/>
          <w:color w:val="auto"/>
        </w:rPr>
      </w:pPr>
    </w:p>
    <w:p>
      <w:pPr>
        <w:ind w:left="572" w:right="120" w:hanging="572"/>
        <w:spacing w:after="0" w:line="287" w:lineRule="auto"/>
        <w:tabs>
          <w:tab w:leader="none" w:pos="572"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Arbitration</w:t>
      </w:r>
      <w:r>
        <w:rPr>
          <w:rFonts w:ascii="Arial" w:cs="Arial" w:eastAsia="Arial" w:hAnsi="Arial"/>
          <w:sz w:val="16"/>
          <w:szCs w:val="16"/>
          <w:b w:val="1"/>
          <w:bCs w:val="1"/>
          <w:color w:val="auto"/>
        </w:rPr>
        <w:t xml:space="preserve"> . </w:t>
      </w:r>
      <w:r>
        <w:rPr>
          <w:rFonts w:ascii="Arial" w:cs="Arial" w:eastAsia="Arial" w:hAnsi="Arial"/>
          <w:sz w:val="16"/>
          <w:szCs w:val="16"/>
          <w:color w:val="auto"/>
        </w:rPr>
        <w:t>The parties shall attempt in good faith to resolve all claims, disputes and other disagreements arising under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In the event that a dispute between the parties cannot be resolved within thirty (30) days of written notice from one party to the other party, such dispute shall, at the request of either party, after providing written notice to the other party, be submitted to arbitration in Columbia, Maryland in accordance with the arbitration rules of the American Arbitration Association then in effect. The notice of arbitration shall specifically describe the claims, disputes or other matters in issue to be submitted to arbitration. The parties shall jointly select a single arbitrator who shall have the authority to hold hearings and to render a decision in accordance with the arbitration rules of the American Arbitration Association. If the parties are unable to agree within ten (10) days, the arbitrator shall be selected by the Chief Judge of the Circuit Court for Howard County. The discovery rights and procedures provided by the Federal Rules of Civil Procedure shall be available and enforceable in the arbitration proceeding. The written decision of the arbitrator so appointed shall be conclusive and binding on the parties and enforceable by a court of competent jurisdiction. The expenses of the arbitration shall be borne equally by the parties to the arbitration, and each party shall pay for and bear the cost of its or his own experts, evidence and legal counsel, unless the arbitrator rules otherwise in the arbitration. Each party agrees to use its or his best efforts to cause a final decision to be rendered with respect to the matter submitted to arbitration within sixty (60) days after its submission.</w:t>
      </w:r>
    </w:p>
    <w:p>
      <w:pPr>
        <w:spacing w:after="0" w:line="168" w:lineRule="exact"/>
        <w:rPr>
          <w:rFonts w:ascii="Arial" w:cs="Arial" w:eastAsia="Arial" w:hAnsi="Arial"/>
          <w:sz w:val="16"/>
          <w:szCs w:val="16"/>
          <w:b w:val="1"/>
          <w:bCs w:val="1"/>
          <w:color w:val="auto"/>
        </w:rPr>
      </w:pPr>
    </w:p>
    <w:p>
      <w:pPr>
        <w:ind w:left="572" w:hanging="572"/>
        <w:spacing w:after="0" w:line="277" w:lineRule="auto"/>
        <w:tabs>
          <w:tab w:leader="none" w:pos="572"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 </w:t>
      </w:r>
      <w:r>
        <w:rPr>
          <w:rFonts w:ascii="Arial" w:cs="Arial" w:eastAsia="Arial" w:hAnsi="Arial"/>
          <w:sz w:val="17"/>
          <w:szCs w:val="17"/>
          <w:color w:val="auto"/>
        </w:rPr>
        <w:t>Any notice provided for in this Agreement must be in writing and must be either personally delivered, transmitted via telecopier, mailed by</w:t>
      </w:r>
      <w:r>
        <w:rPr>
          <w:rFonts w:ascii="Arial" w:cs="Arial" w:eastAsia="Arial" w:hAnsi="Arial"/>
          <w:sz w:val="17"/>
          <w:szCs w:val="17"/>
          <w:b w:val="1"/>
          <w:bCs w:val="1"/>
          <w:color w:val="auto"/>
        </w:rPr>
        <w:t xml:space="preserve"> </w:t>
      </w:r>
      <w:r>
        <w:rPr>
          <w:rFonts w:ascii="Arial" w:cs="Arial" w:eastAsia="Arial" w:hAnsi="Arial"/>
          <w:sz w:val="17"/>
          <w:szCs w:val="17"/>
          <w:color w:val="auto"/>
        </w:rPr>
        <w:t>first class mail (postage prepaid and return receipt requested) or sent by reputable overnight courier service (charges prepaid) to the recipient at the address below indicated or at such other address or to the attention of such other person as the recipient party has specified by prior written notice to the sending party. Notices will be deemed to have been given hereunder and received when delivered personally, when received if transmitted via telecopier, five days after deposit in the U.S. mail and one day after deposit with a reputable overnight courier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476885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89" w:name="page90"/>
    <w:bookmarkEnd w:id="89"/>
    <w:p>
      <w:pPr>
        <w:ind w:left="1252"/>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Attention: Chairman of the Compensation Committee</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Telephone: 609-896-9100</w:t>
      </w:r>
    </w:p>
    <w:p>
      <w:pPr>
        <w:spacing w:after="0" w:line="9" w:lineRule="exact"/>
        <w:rPr>
          <w:sz w:val="20"/>
          <w:szCs w:val="20"/>
          <w:color w:val="auto"/>
        </w:rPr>
      </w:pPr>
    </w:p>
    <w:p>
      <w:pPr>
        <w:ind w:left="1832"/>
        <w:spacing w:after="0"/>
        <w:rPr>
          <w:sz w:val="20"/>
          <w:szCs w:val="20"/>
          <w:color w:val="auto"/>
        </w:rPr>
      </w:pPr>
      <w:r>
        <w:rPr>
          <w:rFonts w:ascii="Arial" w:cs="Arial" w:eastAsia="Arial" w:hAnsi="Arial"/>
          <w:sz w:val="18"/>
          <w:szCs w:val="18"/>
          <w:color w:val="auto"/>
        </w:rPr>
        <w:t>Fax: 609-896-2200</w:t>
      </w:r>
    </w:p>
    <w:p>
      <w:pPr>
        <w:spacing w:after="0" w:line="21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to the Executive, to the address most recently on file in the payroll records of the Company.</w:t>
      </w:r>
    </w:p>
    <w:p>
      <w:pPr>
        <w:spacing w:after="0" w:line="221" w:lineRule="exact"/>
        <w:rPr>
          <w:sz w:val="20"/>
          <w:szCs w:val="20"/>
          <w:color w:val="auto"/>
        </w:rPr>
      </w:pPr>
    </w:p>
    <w:p>
      <w:pPr>
        <w:ind w:left="572" w:right="20" w:hanging="572"/>
        <w:spacing w:after="0" w:line="289" w:lineRule="auto"/>
        <w:tabs>
          <w:tab w:leader="none" w:pos="572"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 </w:t>
      </w:r>
      <w:r>
        <w:rPr>
          <w:rFonts w:ascii="Arial" w:cs="Arial" w:eastAsia="Arial" w:hAnsi="Arial"/>
          <w:sz w:val="16"/>
          <w:szCs w:val="16"/>
          <w:color w:val="auto"/>
        </w:rPr>
        <w:t>This Agreement may be executed in any number of counterparts, each of which shall be deemed an original as against any party</w:t>
      </w:r>
      <w:r>
        <w:rPr>
          <w:rFonts w:ascii="Arial" w:cs="Arial" w:eastAsia="Arial" w:hAnsi="Arial"/>
          <w:sz w:val="16"/>
          <w:szCs w:val="16"/>
          <w:b w:val="1"/>
          <w:bCs w:val="1"/>
          <w:color w:val="auto"/>
        </w:rPr>
        <w:t xml:space="preserve"> </w:t>
      </w:r>
      <w:r>
        <w:rPr>
          <w:rFonts w:ascii="Arial" w:cs="Arial" w:eastAsia="Arial" w:hAnsi="Arial"/>
          <w:sz w:val="16"/>
          <w:szCs w:val="16"/>
          <w:color w:val="auto"/>
        </w:rPr>
        <w:t>whose signature appears thereon, and all of which together shall constitute one and the same instrument. This Agreement shall become binding when one or more counterparts hereof, individually or taken together, shall bear the signatures of all of the parties reflected hereon as the</w:t>
      </w:r>
    </w:p>
    <w:p>
      <w:pPr>
        <w:spacing w:after="0" w:line="1" w:lineRule="exact"/>
        <w:rPr>
          <w:rFonts w:ascii="Arial" w:cs="Arial" w:eastAsia="Arial" w:hAnsi="Arial"/>
          <w:sz w:val="16"/>
          <w:szCs w:val="16"/>
          <w:b w:val="1"/>
          <w:bCs w:val="1"/>
          <w:color w:val="auto"/>
        </w:rPr>
      </w:pPr>
    </w:p>
    <w:p>
      <w:pPr>
        <w:ind w:left="572"/>
        <w:spacing w:after="0"/>
        <w:rPr>
          <w:rFonts w:ascii="Arial" w:cs="Arial" w:eastAsia="Arial" w:hAnsi="Arial"/>
          <w:sz w:val="16"/>
          <w:szCs w:val="16"/>
          <w:b w:val="1"/>
          <w:bCs w:val="1"/>
          <w:color w:val="auto"/>
        </w:rPr>
      </w:pPr>
      <w:r>
        <w:rPr>
          <w:rFonts w:ascii="Arial" w:cs="Arial" w:eastAsia="Arial" w:hAnsi="Arial"/>
          <w:sz w:val="18"/>
          <w:szCs w:val="18"/>
          <w:color w:val="auto"/>
        </w:rPr>
        <w:t>signatories. Photographic copies of such signed counterparts may be used in lieu of the originals for any purpose.</w:t>
      </w:r>
    </w:p>
    <w:p>
      <w:pPr>
        <w:spacing w:after="0" w:line="206" w:lineRule="exact"/>
        <w:rPr>
          <w:rFonts w:ascii="Arial" w:cs="Arial" w:eastAsia="Arial" w:hAnsi="Arial"/>
          <w:sz w:val="16"/>
          <w:szCs w:val="16"/>
          <w:b w:val="1"/>
          <w:bCs w:val="1"/>
          <w:color w:val="auto"/>
        </w:rPr>
      </w:pPr>
    </w:p>
    <w:p>
      <w:pPr>
        <w:ind w:left="572" w:hanging="572"/>
        <w:spacing w:after="0" w:line="298" w:lineRule="auto"/>
        <w:tabs>
          <w:tab w:leader="none" w:pos="572"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Legal Counsel; Mutual Drafting</w:t>
      </w:r>
      <w:r>
        <w:rPr>
          <w:rFonts w:ascii="Arial" w:cs="Arial" w:eastAsia="Arial" w:hAnsi="Arial"/>
          <w:sz w:val="16"/>
          <w:szCs w:val="16"/>
          <w:b w:val="1"/>
          <w:bCs w:val="1"/>
          <w:color w:val="auto"/>
        </w:rPr>
        <w:t xml:space="preserve"> . </w:t>
      </w:r>
      <w:r>
        <w:rPr>
          <w:rFonts w:ascii="Arial" w:cs="Arial" w:eastAsia="Arial" w:hAnsi="Arial"/>
          <w:sz w:val="16"/>
          <w:szCs w:val="16"/>
          <w:color w:val="auto"/>
        </w:rPr>
        <w:t>Each party recognizes that this is a legally binding contract and acknowledges and agrees that they have had the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opportunity to consult with legal counsel of their choice. Each party has cooperated in the drafting, negotiation and preparation of this Agreement. Hence, in any construction to be made of this Agreement, the same shall not be construed against either party on the basis of that party being the drafter of such language. The Executive agrees and acknowledges that he has read and understands this Agreement, is entering into it freely and voluntarily, and has been advised to seek counsel prior to entering into this Agreement and has had ample opportunity to do so.</w:t>
      </w:r>
    </w:p>
    <w:p>
      <w:pPr>
        <w:spacing w:after="0" w:line="154" w:lineRule="exact"/>
        <w:rPr>
          <w:rFonts w:ascii="Arial" w:cs="Arial" w:eastAsia="Arial" w:hAnsi="Arial"/>
          <w:sz w:val="16"/>
          <w:szCs w:val="16"/>
          <w:b w:val="1"/>
          <w:bCs w:val="1"/>
          <w:color w:val="auto"/>
        </w:rPr>
      </w:pPr>
    </w:p>
    <w:p>
      <w:pPr>
        <w:ind w:left="572" w:hanging="572"/>
        <w:spacing w:after="0"/>
        <w:tabs>
          <w:tab w:leader="none" w:pos="57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p>
    <w:p>
      <w:pPr>
        <w:spacing w:after="0" w:line="229" w:lineRule="exact"/>
        <w:rPr>
          <w:rFonts w:ascii="Arial" w:cs="Arial" w:eastAsia="Arial" w:hAnsi="Arial"/>
          <w:sz w:val="18"/>
          <w:szCs w:val="18"/>
          <w:b w:val="1"/>
          <w:bCs w:val="1"/>
          <w:color w:val="auto"/>
        </w:rPr>
      </w:pPr>
    </w:p>
    <w:p>
      <w:pPr>
        <w:ind w:left="652" w:hanging="4"/>
        <w:spacing w:after="0" w:line="257" w:lineRule="auto"/>
        <w:tabs>
          <w:tab w:leader="none" w:pos="134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Agreement shall either be exempt from or comply with Code Section 409A (including the Treasury regulations and other published guidance relating thereto) so as not to subject the Executive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Executive.</w:t>
      </w:r>
    </w:p>
    <w:p>
      <w:pPr>
        <w:spacing w:after="0" w:line="188" w:lineRule="exact"/>
        <w:rPr>
          <w:rFonts w:ascii="Arial" w:cs="Arial" w:eastAsia="Arial" w:hAnsi="Arial"/>
          <w:sz w:val="18"/>
          <w:szCs w:val="18"/>
          <w:color w:val="auto"/>
        </w:rPr>
      </w:pPr>
    </w:p>
    <w:p>
      <w:pPr>
        <w:ind w:left="652" w:right="20" w:hanging="4"/>
        <w:spacing w:after="0" w:line="271" w:lineRule="auto"/>
        <w:tabs>
          <w:tab w:leader="none" w:pos="1357"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the Executive is a “specified employee” within the meaning of Treasury Regulation Section 1.409A-1(i) as of the date of the Executive’s Separation from Service, the Executive shall not be entitled to any payment or benefit pursuant to Section 1.2(b) of this Agreement until the earlier of (i) the date which is six (6) months after his or her Separation from Service for any reason other than death, or (ii) the date of the Executive’s death. The provisions of this Section 17(b) shall only apply if, and to the extent, required to avoid the imputation of any tax, penalty or interest pursuant to Code Section 409A. Any amounts otherwise payable to the Executive upon or in the six (6) month period following the Executive’s Separation from Service that are not so paid by reason of this Section 17(b) shall be paid (without interest) as soon as practicable (and in all events within thirty (30) days) after the date that is six (6) months after the Executive’s Separation from Service (or, if earlier, as soon as practicable, and in all events within thirty (30) days, after the date of the Executive’s death).</w:t>
      </w:r>
    </w:p>
    <w:p>
      <w:pPr>
        <w:spacing w:after="0" w:line="178" w:lineRule="exact"/>
        <w:rPr>
          <w:rFonts w:ascii="Arial" w:cs="Arial" w:eastAsia="Arial" w:hAnsi="Arial"/>
          <w:sz w:val="17"/>
          <w:szCs w:val="17"/>
          <w:color w:val="auto"/>
        </w:rPr>
      </w:pPr>
    </w:p>
    <w:p>
      <w:pPr>
        <w:ind w:left="652" w:right="20" w:hanging="4"/>
        <w:spacing w:after="0" w:line="297" w:lineRule="auto"/>
        <w:tabs>
          <w:tab w:leader="none" w:pos="1344"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To the extent that any benefits or reimbursements pursuant to Section 1.2(b)(ii) or Section 1.2(b)(iii) of this Agreement are taxable to the Executive, any reimbursement payment due to the Executive pursuant to such provisions shall be paid to the Executive on or before the last day of the Executive’s taxable year following the taxable year in which the related expense was incurred. The benefits and reimbursements pursuant to such provisions are not subject to liquidation or exchange for another benefit and the amount of such benefits and reimbursements that the Executive receives in one taxable year shall not affect the amount of such benefits or reimbursements that the Executive receives in any other taxable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467360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90" w:name="page91"/>
    <w:bookmarkEnd w:id="90"/>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 the Company and the Executive have executed this Amended and Restated Change in Control Severance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Michael H. Tardugno</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&amp;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u w:val="single" w:color="auto"/>
          <w:color w:val="auto"/>
        </w:rPr>
        <w:t>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Timothy Tumminello</w:t>
      </w:r>
    </w:p>
    <w:p>
      <w:pPr>
        <w:sectPr>
          <w:pgSz w:w="11900" w:h="16838" w:orient="portrait"/>
          <w:cols w:equalWidth="0" w:num="1">
            <w:col w:w="11240"/>
          </w:cols>
          <w:pgMar w:left="240" w:top="580" w:right="4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920" w:hanging="561"/>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80" w:hanging="561"/>
        <w:spacing w:after="0" w:line="264" w:lineRule="auto"/>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80" w:hanging="561"/>
        <w:spacing w:after="0" w:line="308" w:lineRule="auto"/>
        <w:tabs>
          <w:tab w:leader="none" w:pos="9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60" w:hanging="561"/>
        <w:spacing w:after="0" w:line="291" w:lineRule="auto"/>
        <w:tabs>
          <w:tab w:leader="none" w:pos="9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920" w:right="60" w:hanging="261"/>
        <w:spacing w:after="0" w:line="264" w:lineRule="auto"/>
        <w:tabs>
          <w:tab w:leader="none" w:pos="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20" w:right="60" w:hanging="271"/>
        <w:spacing w:after="0" w:line="264" w:lineRule="auto"/>
        <w:tabs>
          <w:tab w:leader="none" w:pos="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right="80" w:hanging="261"/>
        <w:spacing w:after="0" w:line="308" w:lineRule="auto"/>
        <w:tabs>
          <w:tab w:leader="none" w:pos="9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right="80" w:hanging="271"/>
        <w:spacing w:after="0" w:line="264" w:lineRule="auto"/>
        <w:tabs>
          <w:tab w:leader="none" w:pos="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right="80" w:hanging="561"/>
        <w:spacing w:after="0" w:line="342" w:lineRule="auto"/>
        <w:tabs>
          <w:tab w:leader="none" w:pos="9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right="80" w:hanging="261"/>
        <w:spacing w:after="0" w:line="277" w:lineRule="auto"/>
        <w:tabs>
          <w:tab w:leader="none" w:pos="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80" w:hanging="271"/>
        <w:spacing w:after="0" w:line="277" w:lineRule="auto"/>
        <w:tabs>
          <w:tab w:leader="none" w:pos="9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000" w:type="dxa"/>
            <w:vAlign w:val="bottom"/>
          </w:tcPr>
          <w:p>
            <w:pPr>
              <w:spacing w:after="0"/>
              <w:rPr>
                <w:sz w:val="20"/>
                <w:szCs w:val="20"/>
                <w:color w:val="auto"/>
              </w:rPr>
            </w:pPr>
            <w:r>
              <w:rPr>
                <w:rFonts w:ascii="Arial" w:cs="Arial" w:eastAsia="Arial" w:hAnsi="Arial"/>
                <w:sz w:val="18"/>
                <w:szCs w:val="18"/>
                <w:color w:val="auto"/>
              </w:rPr>
              <w:t>November 10, 2016</w:t>
            </w:r>
          </w:p>
        </w:tc>
        <w:tc>
          <w:tcPr>
            <w:tcW w:w="6800" w:type="dxa"/>
            <w:vAlign w:val="bottom"/>
            <w:gridSpan w:val="2"/>
          </w:tcPr>
          <w:p>
            <w:pPr>
              <w:ind w:left="1560"/>
              <w:spacing w:after="0"/>
              <w:rPr>
                <w:sz w:val="20"/>
                <w:szCs w:val="20"/>
                <w:color w:val="auto"/>
              </w:rPr>
            </w:pPr>
            <w:r>
              <w:rPr>
                <w:rFonts w:ascii="Arial" w:cs="Arial" w:eastAsia="Arial" w:hAnsi="Arial"/>
                <w:sz w:val="18"/>
                <w:szCs w:val="18"/>
                <w:color w:val="auto"/>
              </w:rPr>
              <w:t>By:   /s/Michael H. Tardugno</w:t>
            </w:r>
          </w:p>
        </w:tc>
      </w:tr>
      <w:tr>
        <w:trPr>
          <w:trHeight w:val="195"/>
        </w:trPr>
        <w:tc>
          <w:tcPr>
            <w:tcW w:w="3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30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920" w:hanging="561"/>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80" w:hanging="561"/>
        <w:spacing w:after="0" w:line="264"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80" w:hanging="561"/>
        <w:spacing w:after="0" w:line="308" w:lineRule="auto"/>
        <w:tabs>
          <w:tab w:leader="none" w:pos="9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60" w:hanging="561"/>
        <w:spacing w:after="0" w:line="291" w:lineRule="auto"/>
        <w:tabs>
          <w:tab w:leader="none" w:pos="9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ind w:left="920" w:right="280" w:hanging="305"/>
        <w:spacing w:after="0" w:line="264" w:lineRule="auto"/>
        <w:tabs>
          <w:tab w:leader="none" w:pos="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20" w:right="60" w:hanging="315"/>
        <w:spacing w:after="0" w:line="264" w:lineRule="auto"/>
        <w:tabs>
          <w:tab w:leader="none" w:pos="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right="80" w:hanging="305"/>
        <w:spacing w:after="0" w:line="308" w:lineRule="auto"/>
        <w:tabs>
          <w:tab w:leader="none" w:pos="9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right="80" w:hanging="315"/>
        <w:spacing w:after="0" w:line="264" w:lineRule="auto"/>
        <w:tabs>
          <w:tab w:leader="none" w:pos="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20" w:right="80" w:hanging="561"/>
        <w:spacing w:after="0" w:line="342" w:lineRule="auto"/>
        <w:tabs>
          <w:tab w:leader="none" w:pos="9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right="80" w:hanging="260"/>
        <w:spacing w:after="0" w:line="277" w:lineRule="auto"/>
        <w:tabs>
          <w:tab w:leader="none" w:pos="9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80" w:hanging="270"/>
        <w:spacing w:after="0" w:line="277" w:lineRule="auto"/>
        <w:tabs>
          <w:tab w:leader="none" w:pos="9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000" w:type="dxa"/>
            <w:vAlign w:val="bottom"/>
          </w:tcPr>
          <w:p>
            <w:pPr>
              <w:spacing w:after="0"/>
              <w:rPr>
                <w:sz w:val="20"/>
                <w:szCs w:val="20"/>
                <w:color w:val="auto"/>
              </w:rPr>
            </w:pPr>
            <w:r>
              <w:rPr>
                <w:rFonts w:ascii="Arial" w:cs="Arial" w:eastAsia="Arial" w:hAnsi="Arial"/>
                <w:sz w:val="18"/>
                <w:szCs w:val="18"/>
                <w:color w:val="auto"/>
              </w:rPr>
              <w:t>November 10, 2016</w:t>
            </w:r>
          </w:p>
        </w:tc>
        <w:tc>
          <w:tcPr>
            <w:tcW w:w="6800" w:type="dxa"/>
            <w:vAlign w:val="bottom"/>
            <w:gridSpan w:val="2"/>
          </w:tcPr>
          <w:p>
            <w:pPr>
              <w:ind w:left="1560"/>
              <w:spacing w:after="0"/>
              <w:rPr>
                <w:sz w:val="20"/>
                <w:szCs w:val="20"/>
                <w:color w:val="auto"/>
              </w:rPr>
            </w:pPr>
            <w:r>
              <w:rPr>
                <w:rFonts w:ascii="Arial" w:cs="Arial" w:eastAsia="Arial" w:hAnsi="Arial"/>
                <w:sz w:val="18"/>
                <w:szCs w:val="18"/>
                <w:color w:val="auto"/>
              </w:rPr>
              <w:t>By:  /s/Jeffrey W. Church</w:t>
            </w:r>
          </w:p>
        </w:tc>
      </w:tr>
      <w:tr>
        <w:trPr>
          <w:trHeight w:val="195"/>
        </w:trPr>
        <w:tc>
          <w:tcPr>
            <w:tcW w:w="3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78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0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Senior Vice President and Chief</w:t>
            </w:r>
          </w:p>
        </w:tc>
      </w:tr>
      <w:tr>
        <w:trPr>
          <w:trHeight w:val="230"/>
        </w:trPr>
        <w:tc>
          <w:tcPr>
            <w:tcW w:w="30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2016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November 10, 2016</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H. Tardugno</w:t>
            </w:r>
          </w:p>
        </w:tc>
      </w:tr>
      <w:tr>
        <w:trPr>
          <w:trHeight w:val="195"/>
        </w:trPr>
        <w:tc>
          <w:tcPr>
            <w:tcW w:w="2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90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November 10, 2016</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/s/Jeffrey W. Church</w:t>
            </w:r>
          </w:p>
        </w:tc>
      </w:tr>
      <w:tr>
        <w:trPr>
          <w:trHeight w:val="195"/>
        </w:trPr>
        <w:tc>
          <w:tcPr>
            <w:tcW w:w="2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90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lowerLetter"/>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upperLetter"/>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2">
    <w:nsid w:val="100F8FCA"/>
    <w:multiLevelType w:val="hybridMultilevel"/>
    <w:lvl w:ilvl="0">
      <w:lvlJc w:val="left"/>
      <w:lvlText w:val="%1"/>
      <w:numFmt w:val="lowerLetter"/>
      <w:start w:val="1"/>
    </w:lvl>
    <w:lvl w:ilvl="1">
      <w:lvlJc w:val="left"/>
      <w:lvlText w:val="(%2)"/>
      <w:numFmt w:val="lowerRoman"/>
      <w:start w:val="10"/>
    </w:lvl>
    <w:lvl w:ilvl="2">
      <w:lvlJc w:val="left"/>
      <w:lvlText w:val="%3"/>
      <w:numFmt w:val="lowerLetter"/>
      <w:start w:val="1"/>
    </w:lvl>
  </w:abstractNum>
  <w:abstractNum w:abstractNumId="33">
    <w:nsid w:val="6590700B"/>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34">
    <w:nsid w:val="15014ACB"/>
    <w:multiLevelType w:val="hybridMultilevel"/>
    <w:lvl w:ilvl="0">
      <w:lvlJc w:val="left"/>
      <w:lvlText w:val="%1"/>
      <w:numFmt w:val="lowerLetter"/>
      <w:start w:val="1"/>
    </w:lvl>
    <w:lvl w:ilvl="1">
      <w:lvlJc w:val="left"/>
      <w:lvlText w:val="(%2)"/>
      <w:numFmt w:val="lowerRoman"/>
      <w:start w:val="4"/>
    </w:lvl>
  </w:abstractNum>
  <w:abstractNum w:abstractNumId="35">
    <w:nsid w:val="5F5E7FD0"/>
    <w:multiLevelType w:val="hybridMultilevel"/>
    <w:lvl w:ilvl="0">
      <w:lvlJc w:val="left"/>
      <w:lvlText w:val="(%1)"/>
      <w:numFmt w:val="lowerLetter"/>
      <w:start w:val="3"/>
    </w:lvl>
    <w:lvl w:ilvl="1">
      <w:lvlJc w:val="left"/>
      <w:lvlText w:val="%2"/>
      <w:numFmt w:val="lowerRoman"/>
      <w:start w:val="1"/>
    </w:lvl>
  </w:abstractNum>
  <w:abstractNum w:abstractNumId="36">
    <w:nsid w:val="98A3148"/>
    <w:multiLevelType w:val="hybridMultilevel"/>
    <w:lvl w:ilvl="0">
      <w:lvlJc w:val="left"/>
      <w:lvlText w:val="(%1)"/>
      <w:numFmt w:val="lowerLetter"/>
      <w:start w:val="1"/>
    </w:lvl>
  </w:abstractNum>
  <w:abstractNum w:abstractNumId="37">
    <w:nsid w:val="799D02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6B94764"/>
    <w:multiLevelType w:val="hybridMultilevel"/>
    <w:lvl w:ilvl="0">
      <w:lvlJc w:val="left"/>
      <w:lvlText w:val="(%1)"/>
      <w:numFmt w:val="lowerLetter"/>
      <w:start w:val="3"/>
    </w:lvl>
    <w:lvl w:ilvl="1">
      <w:lvlJc w:val="left"/>
      <w:lvlText w:val="(%2)"/>
      <w:numFmt w:val="lowerRoman"/>
      <w:start w:val="1"/>
    </w:lvl>
  </w:abstractNum>
  <w:abstractNum w:abstractNumId="39">
    <w:nsid w:val="42C296BD"/>
    <w:multiLevelType w:val="hybridMultilevel"/>
    <w:lvl w:ilvl="0">
      <w:lvlJc w:val="left"/>
      <w:lvlText w:val="(%1)"/>
      <w:numFmt w:val="lowerRoman"/>
      <w:start w:val="3"/>
    </w:lvl>
  </w:abstractNum>
  <w:abstractNum w:abstractNumId="40">
    <w:nsid w:val="168E121F"/>
    <w:multiLevelType w:val="hybridMultilevel"/>
    <w:lvl w:ilvl="0">
      <w:lvlJc w:val="left"/>
      <w:lvlText w:val="(%1)"/>
      <w:numFmt w:val="lowerLetter"/>
      <w:start w:val="4"/>
    </w:lvl>
    <w:lvl w:ilvl="1">
      <w:lvlJc w:val="left"/>
      <w:lvlText w:val="(%2)"/>
      <w:numFmt w:val="lowerLetter"/>
      <w:start w:val="9"/>
    </w:lvl>
  </w:abstractNum>
  <w:abstractNum w:abstractNumId="41">
    <w:nsid w:val="1EBA5D23"/>
    <w:multiLevelType w:val="hybridMultilevel"/>
    <w:lvl w:ilvl="0">
      <w:lvlJc w:val="left"/>
      <w:lvlText w:val="(%1)"/>
      <w:numFmt w:val="lowerRoman"/>
      <w:start w:val="2"/>
    </w:lvl>
  </w:abstractNum>
  <w:abstractNum w:abstractNumId="42">
    <w:nsid w:val="661E3F1E"/>
    <w:multiLevelType w:val="hybridMultilevel"/>
    <w:lvl w:ilvl="0">
      <w:lvlJc w:val="left"/>
      <w:lvlText w:val="%1"/>
      <w:numFmt w:val="decimal"/>
      <w:start w:val="1"/>
    </w:lvl>
    <w:lvl w:ilvl="1">
      <w:lvlJc w:val="left"/>
      <w:lvlText w:val="(%2)"/>
      <w:numFmt w:val="lowerLetter"/>
      <w:start w:val="7"/>
    </w:lvl>
  </w:abstractNum>
  <w:abstractNum w:abstractNumId="43">
    <w:nsid w:val="5DC79EA8"/>
    <w:multiLevelType w:val="hybridMultilevel"/>
    <w:lvl w:ilvl="0">
      <w:lvlJc w:val="left"/>
      <w:lvlText w:val="%1."/>
      <w:numFmt w:val="decimal"/>
      <w:start w:val="3"/>
    </w:lvl>
    <w:lvl w:ilvl="1">
      <w:lvlJc w:val="left"/>
      <w:lvlText w:val="(%2)"/>
      <w:numFmt w:val="lowerLetter"/>
      <w:start w:val="1"/>
    </w:lvl>
  </w:abstractNum>
  <w:abstractNum w:abstractNumId="44">
    <w:nsid w:val="540A471C"/>
    <w:multiLevelType w:val="hybridMultilevel"/>
    <w:lvl w:ilvl="0">
      <w:lvlJc w:val="left"/>
      <w:lvlText w:val="%1."/>
      <w:numFmt w:val="decimal"/>
      <w:start w:val="4"/>
    </w:lvl>
    <w:lvl w:ilvl="1">
      <w:lvlJc w:val="left"/>
      <w:lvlText w:val="(%2)"/>
      <w:numFmt w:val="lowerLetter"/>
      <w:start w:val="1"/>
    </w:lvl>
  </w:abstractNum>
  <w:abstractNum w:abstractNumId="45">
    <w:nsid w:val="7BD3EE7B"/>
    <w:multiLevelType w:val="hybridMultilevel"/>
    <w:lvl w:ilvl="0">
      <w:lvlJc w:val="left"/>
      <w:lvlText w:val="%1."/>
      <w:numFmt w:val="decimal"/>
      <w:start w:val="9"/>
    </w:lvl>
  </w:abstractNum>
  <w:abstractNum w:abstractNumId="46">
    <w:nsid w:val="51D9C564"/>
    <w:multiLevelType w:val="hybridMultilevel"/>
    <w:lvl w:ilvl="0">
      <w:lvlJc w:val="left"/>
      <w:lvlText w:val="%1."/>
      <w:numFmt w:val="decimal"/>
      <w:start w:val="15"/>
    </w:lvl>
    <w:lvl w:ilvl="1">
      <w:lvlJc w:val="left"/>
      <w:lvlText w:val="(%2)"/>
      <w:numFmt w:val="lowerLetter"/>
      <w:start w:val="1"/>
    </w:lvl>
  </w:abstractNum>
  <w:abstractNum w:abstractNumId="47">
    <w:nsid w:val="613EFDC5"/>
    <w:multiLevelType w:val="hybridMultilevel"/>
    <w:lvl w:ilvl="0">
      <w:lvlJc w:val="left"/>
      <w:lvlText w:val="%1."/>
      <w:numFmt w:val="upperLetter"/>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0">
    <w:nsid w:val="42963E5A"/>
    <w:multiLevelType w:val="hybridMultilevel"/>
    <w:lvl w:ilvl="0">
      <w:lvlJc w:val="left"/>
      <w:lvlText w:val="%1"/>
      <w:numFmt w:val="lowerLetter"/>
      <w:start w:val="1"/>
    </w:lvl>
    <w:lvl w:ilvl="1">
      <w:lvlJc w:val="left"/>
      <w:lvlText w:val="(%2)"/>
      <w:numFmt w:val="lowerRoman"/>
      <w:start w:val="10"/>
    </w:lvl>
    <w:lvl w:ilvl="2">
      <w:lvlJc w:val="left"/>
      <w:lvlText w:val="%3"/>
      <w:numFmt w:val="lowerLetter"/>
      <w:start w:val="1"/>
    </w:lvl>
  </w:abstractNum>
  <w:abstractNum w:abstractNumId="51">
    <w:nsid w:val="A0382C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52">
    <w:nsid w:val="8F2B15E"/>
    <w:multiLevelType w:val="hybridMultilevel"/>
    <w:lvl w:ilvl="0">
      <w:lvlJc w:val="left"/>
      <w:lvlText w:val="%1"/>
      <w:numFmt w:val="lowerLetter"/>
      <w:start w:val="1"/>
    </w:lvl>
    <w:lvl w:ilvl="1">
      <w:lvlJc w:val="left"/>
      <w:lvlText w:val="(%2)"/>
      <w:numFmt w:val="lowerRoman"/>
      <w:start w:val="4"/>
    </w:lvl>
  </w:abstractNum>
  <w:abstractNum w:abstractNumId="53">
    <w:nsid w:val="1A32234B"/>
    <w:multiLevelType w:val="hybridMultilevel"/>
    <w:lvl w:ilvl="0">
      <w:lvlJc w:val="left"/>
      <w:lvlText w:val="(%1)"/>
      <w:numFmt w:val="lowerLetter"/>
      <w:start w:val="3"/>
    </w:lvl>
    <w:lvl w:ilvl="1">
      <w:lvlJc w:val="left"/>
      <w:lvlText w:val="%2"/>
      <w:numFmt w:val="lowerRoman"/>
      <w:start w:val="1"/>
    </w:lvl>
  </w:abstractNum>
  <w:abstractNum w:abstractNumId="54">
    <w:nsid w:val="3B0FD379"/>
    <w:multiLevelType w:val="hybridMultilevel"/>
    <w:lvl w:ilvl="0">
      <w:lvlJc w:val="left"/>
      <w:lvlText w:val="(%1)"/>
      <w:numFmt w:val="lowerLetter"/>
      <w:start w:val="1"/>
    </w:lvl>
  </w:abstractNum>
  <w:abstractNum w:abstractNumId="55">
    <w:nsid w:val="68EB2F6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6">
    <w:nsid w:val="4962813B"/>
    <w:multiLevelType w:val="hybridMultilevel"/>
    <w:lvl w:ilvl="0">
      <w:lvlJc w:val="left"/>
      <w:lvlText w:val="(%1)"/>
      <w:numFmt w:val="lowerLetter"/>
      <w:start w:val="3"/>
    </w:lvl>
    <w:lvl w:ilvl="1">
      <w:lvlJc w:val="left"/>
      <w:lvlText w:val="(%2)"/>
      <w:numFmt w:val="lowerRoman"/>
      <w:start w:val="1"/>
    </w:lvl>
  </w:abstractNum>
  <w:abstractNum w:abstractNumId="57">
    <w:nsid w:val="60B6DF70"/>
    <w:multiLevelType w:val="hybridMultilevel"/>
    <w:lvl w:ilvl="0">
      <w:lvlJc w:val="left"/>
      <w:lvlText w:val="(%1)"/>
      <w:numFmt w:val="lowerRoman"/>
      <w:start w:val="3"/>
    </w:lvl>
  </w:abstractNum>
  <w:abstractNum w:abstractNumId="58">
    <w:nsid w:val="6A5EE64"/>
    <w:multiLevelType w:val="hybridMultilevel"/>
    <w:lvl w:ilvl="0">
      <w:lvlJc w:val="left"/>
      <w:lvlText w:val="(%1)"/>
      <w:numFmt w:val="lowerLetter"/>
      <w:start w:val="4"/>
    </w:lvl>
    <w:lvl w:ilvl="1">
      <w:lvlJc w:val="left"/>
      <w:lvlText w:val="(%2)"/>
      <w:numFmt w:val="lowerLetter"/>
      <w:start w:val="9"/>
    </w:lvl>
  </w:abstractNum>
  <w:abstractNum w:abstractNumId="59">
    <w:nsid w:val="14330624"/>
    <w:multiLevelType w:val="hybridMultilevel"/>
    <w:lvl w:ilvl="0">
      <w:lvlJc w:val="left"/>
      <w:lvlText w:val="(%1)"/>
      <w:numFmt w:val="lowerRoman"/>
      <w:start w:val="2"/>
    </w:lvl>
  </w:abstractNum>
  <w:abstractNum w:abstractNumId="60">
    <w:nsid w:val="7FFFCA11"/>
    <w:multiLevelType w:val="hybridMultilevel"/>
    <w:lvl w:ilvl="0">
      <w:lvlJc w:val="left"/>
      <w:lvlText w:val="%1"/>
      <w:numFmt w:val="decimal"/>
      <w:start w:val="1"/>
    </w:lvl>
    <w:lvl w:ilvl="1">
      <w:lvlJc w:val="left"/>
      <w:lvlText w:val="(%2)"/>
      <w:numFmt w:val="lowerLetter"/>
      <w:start w:val="7"/>
    </w:lvl>
  </w:abstractNum>
  <w:abstractNum w:abstractNumId="61">
    <w:nsid w:val="1A27709E"/>
    <w:multiLevelType w:val="hybridMultilevel"/>
    <w:lvl w:ilvl="0">
      <w:lvlJc w:val="left"/>
      <w:lvlText w:val="%1."/>
      <w:numFmt w:val="decimal"/>
      <w:start w:val="3"/>
    </w:lvl>
    <w:lvl w:ilvl="1">
      <w:lvlJc w:val="left"/>
      <w:lvlText w:val="(%2)"/>
      <w:numFmt w:val="lowerLetter"/>
      <w:start w:val="1"/>
    </w:lvl>
  </w:abstractNum>
  <w:abstractNum w:abstractNumId="62">
    <w:nsid w:val="71EA1109"/>
    <w:multiLevelType w:val="hybridMultilevel"/>
    <w:lvl w:ilvl="0">
      <w:lvlJc w:val="left"/>
      <w:lvlText w:val="%1."/>
      <w:numFmt w:val="decimal"/>
      <w:start w:val="4"/>
    </w:lvl>
    <w:lvl w:ilvl="1">
      <w:lvlJc w:val="left"/>
      <w:lvlText w:val="(%2)"/>
      <w:numFmt w:val="lowerLetter"/>
      <w:start w:val="1"/>
    </w:lvl>
  </w:abstractNum>
  <w:abstractNum w:abstractNumId="63">
    <w:nsid w:val="100F59DC"/>
    <w:multiLevelType w:val="hybridMultilevel"/>
    <w:lvl w:ilvl="0">
      <w:lvlJc w:val="left"/>
      <w:lvlText w:val="%1."/>
      <w:numFmt w:val="decimal"/>
      <w:start w:val="9"/>
    </w:lvl>
  </w:abstractNum>
  <w:abstractNum w:abstractNumId="64">
    <w:nsid w:val="7FB7E0AA"/>
    <w:multiLevelType w:val="hybridMultilevel"/>
    <w:lvl w:ilvl="0">
      <w:lvlJc w:val="left"/>
      <w:lvlText w:val="%1."/>
      <w:numFmt w:val="decimal"/>
      <w:start w:val="15"/>
    </w:lvl>
    <w:lvl w:ilvl="1">
      <w:lvlJc w:val="left"/>
      <w:lvlText w:val="(%2)"/>
      <w:numFmt w:val="lowerLetter"/>
      <w:start w:val="1"/>
    </w:lvl>
  </w:abstractNum>
  <w:abstractNum w:abstractNumId="65">
    <w:nsid w:val="6EB5BD4"/>
    <w:multiLevelType w:val="hybridMultilevel"/>
    <w:lvl w:ilvl="0">
      <w:lvlJc w:val="left"/>
      <w:lvlText w:val="%1."/>
      <w:numFmt w:val="upperLetter"/>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68">
    <w:nsid w:val="885E1B"/>
    <w:multiLevelType w:val="hybridMultilevel"/>
    <w:lvl w:ilvl="0">
      <w:lvlJc w:val="left"/>
      <w:lvlText w:val="%1"/>
      <w:numFmt w:val="lowerLetter"/>
      <w:start w:val="1"/>
    </w:lvl>
    <w:lvl w:ilvl="1">
      <w:lvlJc w:val="left"/>
      <w:lvlText w:val="(%2)"/>
      <w:numFmt w:val="lowerRoman"/>
      <w:start w:val="10"/>
    </w:lvl>
    <w:lvl w:ilvl="2">
      <w:lvlJc w:val="left"/>
      <w:lvlText w:val="%3"/>
      <w:numFmt w:val="lowerLetter"/>
      <w:start w:val="1"/>
    </w:lvl>
  </w:abstractNum>
  <w:abstractNum w:abstractNumId="69">
    <w:nsid w:val="76272110"/>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70">
    <w:nsid w:val="4C04A8AF"/>
    <w:multiLevelType w:val="hybridMultilevel"/>
    <w:lvl w:ilvl="0">
      <w:lvlJc w:val="left"/>
      <w:lvlText w:val="%1"/>
      <w:numFmt w:val="lowerLetter"/>
      <w:start w:val="1"/>
    </w:lvl>
    <w:lvl w:ilvl="1">
      <w:lvlJc w:val="left"/>
      <w:lvlText w:val="(%2)"/>
      <w:numFmt w:val="lowerRoman"/>
      <w:start w:val="4"/>
    </w:lvl>
  </w:abstractNum>
  <w:abstractNum w:abstractNumId="71">
    <w:nsid w:val="1716703B"/>
    <w:multiLevelType w:val="hybridMultilevel"/>
    <w:lvl w:ilvl="0">
      <w:lvlJc w:val="left"/>
      <w:lvlText w:val="(%1)"/>
      <w:numFmt w:val="lowerLetter"/>
      <w:start w:val="3"/>
    </w:lvl>
    <w:lvl w:ilvl="1">
      <w:lvlJc w:val="left"/>
      <w:lvlText w:val="%2"/>
      <w:numFmt w:val="lowerRoman"/>
      <w:start w:val="1"/>
    </w:lvl>
  </w:abstractNum>
  <w:abstractNum w:abstractNumId="72">
    <w:nsid w:val="14E17E33"/>
    <w:multiLevelType w:val="hybridMultilevel"/>
    <w:lvl w:ilvl="0">
      <w:lvlJc w:val="left"/>
      <w:lvlText w:val="(%1)"/>
      <w:numFmt w:val="lowerLetter"/>
      <w:start w:val="1"/>
    </w:lvl>
  </w:abstractNum>
  <w:abstractNum w:abstractNumId="73">
    <w:nsid w:val="3222E7C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4">
    <w:nsid w:val="74DE0EE3"/>
    <w:multiLevelType w:val="hybridMultilevel"/>
    <w:lvl w:ilvl="0">
      <w:lvlJc w:val="left"/>
      <w:lvlText w:val="(%1)"/>
      <w:numFmt w:val="lowerLetter"/>
      <w:start w:val="3"/>
    </w:lvl>
    <w:lvl w:ilvl="1">
      <w:lvlJc w:val="left"/>
      <w:lvlText w:val="(%2)"/>
      <w:numFmt w:val="lowerRoman"/>
      <w:start w:val="1"/>
    </w:lvl>
  </w:abstractNum>
  <w:abstractNum w:abstractNumId="75">
    <w:nsid w:val="68EBC550"/>
    <w:multiLevelType w:val="hybridMultilevel"/>
    <w:lvl w:ilvl="0">
      <w:lvlJc w:val="left"/>
      <w:lvlText w:val="(%1)"/>
      <w:numFmt w:val="lowerRoman"/>
      <w:start w:val="3"/>
    </w:lvl>
  </w:abstractNum>
  <w:abstractNum w:abstractNumId="76">
    <w:nsid w:val="2DF6D648"/>
    <w:multiLevelType w:val="hybridMultilevel"/>
    <w:lvl w:ilvl="0">
      <w:lvlJc w:val="left"/>
      <w:lvlText w:val="(%1)"/>
      <w:numFmt w:val="lowerLetter"/>
      <w:start w:val="4"/>
    </w:lvl>
    <w:lvl w:ilvl="1">
      <w:lvlJc w:val="left"/>
      <w:lvlText w:val="(%2)"/>
      <w:numFmt w:val="lowerLetter"/>
      <w:start w:val="9"/>
    </w:lvl>
  </w:abstractNum>
  <w:abstractNum w:abstractNumId="77">
    <w:nsid w:val="46B7D447"/>
    <w:multiLevelType w:val="hybridMultilevel"/>
    <w:lvl w:ilvl="0">
      <w:lvlJc w:val="left"/>
      <w:lvlText w:val="(%1)"/>
      <w:numFmt w:val="lowerRoman"/>
      <w:start w:val="2"/>
    </w:lvl>
  </w:abstractNum>
  <w:abstractNum w:abstractNumId="78">
    <w:nsid w:val="4A2AC315"/>
    <w:multiLevelType w:val="hybridMultilevel"/>
    <w:lvl w:ilvl="0">
      <w:lvlJc w:val="left"/>
      <w:lvlText w:val="%1"/>
      <w:numFmt w:val="decimal"/>
      <w:start w:val="1"/>
    </w:lvl>
    <w:lvl w:ilvl="1">
      <w:lvlJc w:val="left"/>
      <w:lvlText w:val="(%2)"/>
      <w:numFmt w:val="lowerLetter"/>
      <w:start w:val="7"/>
    </w:lvl>
  </w:abstractNum>
  <w:abstractNum w:abstractNumId="79">
    <w:nsid w:val="39EE015C"/>
    <w:multiLevelType w:val="hybridMultilevel"/>
    <w:lvl w:ilvl="0">
      <w:lvlJc w:val="left"/>
      <w:lvlText w:val="%1."/>
      <w:numFmt w:val="decimal"/>
      <w:start w:val="3"/>
    </w:lvl>
    <w:lvl w:ilvl="1">
      <w:lvlJc w:val="left"/>
      <w:lvlText w:val="(%2)"/>
      <w:numFmt w:val="lowerLetter"/>
      <w:start w:val="1"/>
    </w:lvl>
  </w:abstractNum>
  <w:abstractNum w:abstractNumId="80">
    <w:nsid w:val="57FC4FBB"/>
    <w:multiLevelType w:val="hybridMultilevel"/>
    <w:lvl w:ilvl="0">
      <w:lvlJc w:val="left"/>
      <w:lvlText w:val="%1."/>
      <w:numFmt w:val="decimal"/>
      <w:start w:val="4"/>
    </w:lvl>
    <w:lvl w:ilvl="1">
      <w:lvlJc w:val="left"/>
      <w:lvlText w:val="(%2)"/>
      <w:numFmt w:val="lowerLetter"/>
      <w:start w:val="1"/>
    </w:lvl>
  </w:abstractNum>
  <w:abstractNum w:abstractNumId="81">
    <w:nsid w:val="CC1016F"/>
    <w:multiLevelType w:val="hybridMultilevel"/>
    <w:lvl w:ilvl="0">
      <w:lvlJc w:val="left"/>
      <w:lvlText w:val="%1."/>
      <w:numFmt w:val="decimal"/>
      <w:start w:val="10"/>
    </w:lvl>
  </w:abstractNum>
  <w:abstractNum w:abstractNumId="82">
    <w:nsid w:val="43F18422"/>
    <w:multiLevelType w:val="hybridMultilevel"/>
    <w:lvl w:ilvl="0">
      <w:lvlJc w:val="left"/>
      <w:lvlText w:val="%1."/>
      <w:numFmt w:val="decimal"/>
      <w:start w:val="15"/>
    </w:lvl>
    <w:lvl w:ilvl="1">
      <w:lvlJc w:val="left"/>
      <w:lvlText w:val="(%2)"/>
      <w:numFmt w:val="lowerLetter"/>
      <w:start w:val="1"/>
    </w:lvl>
  </w:abstractNum>
  <w:abstractNum w:abstractNumId="83">
    <w:nsid w:val="60EF0119"/>
    <w:multiLevelType w:val="hybridMultilevel"/>
    <w:lvl w:ilvl="0">
      <w:lvlJc w:val="left"/>
      <w:lvlText w:val="%1."/>
      <w:numFmt w:val="upperLetter"/>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6">
    <w:nsid w:val="49DA307D"/>
    <w:multiLevelType w:val="hybridMultilevel"/>
    <w:lvl w:ilvl="0">
      <w:lvlJc w:val="left"/>
      <w:lvlText w:val="%1"/>
      <w:numFmt w:val="lowerLetter"/>
      <w:start w:val="1"/>
    </w:lvl>
    <w:lvl w:ilvl="1">
      <w:lvlJc w:val="left"/>
      <w:lvlText w:val="(%2)"/>
      <w:numFmt w:val="lowerRoman"/>
      <w:start w:val="10"/>
    </w:lvl>
    <w:lvl w:ilvl="2">
      <w:lvlJc w:val="left"/>
      <w:lvlText w:val="%3"/>
      <w:numFmt w:val="lowerLetter"/>
      <w:start w:val="1"/>
    </w:lvl>
  </w:abstractNum>
  <w:abstractNum w:abstractNumId="87">
    <w:nsid w:val="7055A5F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61"/>
    </w:lvl>
  </w:abstractNum>
  <w:abstractNum w:abstractNumId="88">
    <w:nsid w:val="5FB8370B"/>
    <w:multiLevelType w:val="hybridMultilevel"/>
    <w:lvl w:ilvl="0">
      <w:lvlJc w:val="left"/>
      <w:lvlText w:val="%1"/>
      <w:numFmt w:val="lowerLetter"/>
      <w:start w:val="1"/>
    </w:lvl>
    <w:lvl w:ilvl="1">
      <w:lvlJc w:val="left"/>
      <w:lvlText w:val="(%2)"/>
      <w:numFmt w:val="lowerRoman"/>
      <w:start w:val="4"/>
    </w:lvl>
  </w:abstractNum>
  <w:abstractNum w:abstractNumId="89">
    <w:nsid w:val="50801EE1"/>
    <w:multiLevelType w:val="hybridMultilevel"/>
    <w:lvl w:ilvl="0">
      <w:lvlJc w:val="left"/>
      <w:lvlText w:val="(%1)"/>
      <w:numFmt w:val="lowerLetter"/>
      <w:start w:val="3"/>
    </w:lvl>
    <w:lvl w:ilvl="1">
      <w:lvlJc w:val="left"/>
      <w:lvlText w:val="%2"/>
      <w:numFmt w:val="lowerRoman"/>
      <w:start w:val="1"/>
    </w:lvl>
  </w:abstractNum>
  <w:abstractNum w:abstractNumId="90">
    <w:nsid w:val="488AC1A"/>
    <w:multiLevelType w:val="hybridMultilevel"/>
    <w:lvl w:ilvl="0">
      <w:lvlJc w:val="left"/>
      <w:lvlText w:val="(%1)"/>
      <w:numFmt w:val="lowerLetter"/>
      <w:start w:val="1"/>
    </w:lvl>
  </w:abstractNum>
  <w:abstractNum w:abstractNumId="91">
    <w:nsid w:val="5FB801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2">
    <w:nsid w:val="6AA78F7F"/>
    <w:multiLevelType w:val="hybridMultilevel"/>
    <w:lvl w:ilvl="0">
      <w:lvlJc w:val="left"/>
      <w:lvlText w:val="(%1)"/>
      <w:numFmt w:val="lowerLetter"/>
      <w:start w:val="3"/>
    </w:lvl>
    <w:lvl w:ilvl="1">
      <w:lvlJc w:val="left"/>
      <w:lvlText w:val="(%2)"/>
      <w:numFmt w:val="lowerRoman"/>
      <w:start w:val="1"/>
    </w:lvl>
  </w:abstractNum>
  <w:abstractNum w:abstractNumId="93">
    <w:nsid w:val="7672BD23"/>
    <w:multiLevelType w:val="hybridMultilevel"/>
    <w:lvl w:ilvl="0">
      <w:lvlJc w:val="left"/>
      <w:lvlText w:val="(%1)"/>
      <w:numFmt w:val="lowerRoman"/>
      <w:start w:val="3"/>
    </w:lvl>
  </w:abstractNum>
  <w:abstractNum w:abstractNumId="94">
    <w:nsid w:val="6FC75AF8"/>
    <w:multiLevelType w:val="hybridMultilevel"/>
    <w:lvl w:ilvl="0">
      <w:lvlJc w:val="left"/>
      <w:lvlText w:val="(%1)"/>
      <w:numFmt w:val="lowerLetter"/>
      <w:start w:val="4"/>
    </w:lvl>
    <w:lvl w:ilvl="1">
      <w:lvlJc w:val="left"/>
      <w:lvlText w:val="(%2)"/>
      <w:numFmt w:val="lowerLetter"/>
      <w:start w:val="9"/>
    </w:lvl>
  </w:abstractNum>
  <w:abstractNum w:abstractNumId="95">
    <w:nsid w:val="6A5F7029"/>
    <w:multiLevelType w:val="hybridMultilevel"/>
    <w:lvl w:ilvl="0">
      <w:lvlJc w:val="left"/>
      <w:lvlText w:val="(%1)"/>
      <w:numFmt w:val="lowerRoman"/>
      <w:start w:val="2"/>
    </w:lvl>
  </w:abstractNum>
  <w:abstractNum w:abstractNumId="96">
    <w:nsid w:val="7D5E18F8"/>
    <w:multiLevelType w:val="hybridMultilevel"/>
    <w:lvl w:ilvl="0">
      <w:lvlJc w:val="left"/>
      <w:lvlText w:val="%1"/>
      <w:numFmt w:val="decimal"/>
      <w:start w:val="1"/>
    </w:lvl>
    <w:lvl w:ilvl="1">
      <w:lvlJc w:val="left"/>
      <w:lvlText w:val="(%2)"/>
      <w:numFmt w:val="lowerLetter"/>
      <w:start w:val="7"/>
    </w:lvl>
  </w:abstractNum>
  <w:abstractNum w:abstractNumId="97">
    <w:nsid w:val="5F3534A4"/>
    <w:multiLevelType w:val="hybridMultilevel"/>
    <w:lvl w:ilvl="0">
      <w:lvlJc w:val="left"/>
      <w:lvlText w:val="%1."/>
      <w:numFmt w:val="decimal"/>
      <w:start w:val="3"/>
    </w:lvl>
    <w:lvl w:ilvl="1">
      <w:lvlJc w:val="left"/>
      <w:lvlText w:val="(%2)"/>
      <w:numFmt w:val="lowerLetter"/>
      <w:start w:val="1"/>
    </w:lvl>
  </w:abstractNum>
  <w:abstractNum w:abstractNumId="98">
    <w:nsid w:val="73A1821B"/>
    <w:multiLevelType w:val="hybridMultilevel"/>
    <w:lvl w:ilvl="0">
      <w:lvlJc w:val="left"/>
      <w:lvlText w:val="%1."/>
      <w:numFmt w:val="decimal"/>
      <w:start w:val="4"/>
    </w:lvl>
    <w:lvl w:ilvl="1">
      <w:lvlJc w:val="left"/>
      <w:lvlText w:val="(%2)"/>
      <w:numFmt w:val="lowerLetter"/>
      <w:start w:val="1"/>
    </w:lvl>
  </w:abstractNum>
  <w:abstractNum w:abstractNumId="99">
    <w:nsid w:val="7DE67713"/>
    <w:multiLevelType w:val="hybridMultilevel"/>
    <w:lvl w:ilvl="0">
      <w:lvlJc w:val="left"/>
      <w:lvlText w:val="%1."/>
      <w:numFmt w:val="decimal"/>
      <w:start w:val="9"/>
    </w:lvl>
  </w:abstractNum>
  <w:abstractNum w:abstractNumId="100">
    <w:nsid w:val="555C55B5"/>
    <w:multiLevelType w:val="hybridMultilevel"/>
    <w:lvl w:ilvl="0">
      <w:lvlJc w:val="left"/>
      <w:lvlText w:val="%1."/>
      <w:numFmt w:val="decimal"/>
      <w:start w:val="15"/>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2019-12-05T17:10:18Z</dcterms:created>
  <dcterms:modified xsi:type="dcterms:W3CDTF">2019-12-05T17:10:18Z</dcterms:modified>
</cp:coreProperties>
</file>