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left"/>
              <w:rPr>
                <w:caps w:val="false"/>
                <w:smallCaps w:val="false"/>
              </w:rPr>
            </w:pPr>
            <w:bookmarkStart w:id="3" w:name="xdx_902_edei--DocumentQuarterlyReport_c2"/>
            <w:bookmarkEnd w:id="3"/>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2_edei--DocumentPeriodEndDate_c202"/>
      <w:bookmarkEnd w:id="4"/>
      <w:r>
        <w:rPr>
          <w:rFonts w:ascii="Times New Roman;Times;Serif" w:hAnsi="Times New Roman;Times;Serif"/>
          <w:b w:val="false"/>
          <w:i w:val="false"/>
          <w:caps w:val="false"/>
          <w:smallCaps w:val="false"/>
          <w:sz w:val="20"/>
        </w:rPr>
        <w:t xml:space="preserve">June 30, </w:t>
      </w:r>
      <w:bookmarkStart w:id="5" w:name="xdx_90D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left"/>
              <w:rPr>
                <w:caps w:val="false"/>
                <w:smallCaps w:val="false"/>
              </w:rPr>
            </w:pPr>
            <w:bookmarkStart w:id="6" w:name="xdx_90F_edei--DocumentTransitionReport_c"/>
            <w:bookmarkEnd w:id="6"/>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1_edei--EntityFileNumber_c20260101"/>
      <w:bookmarkEnd w:id="7"/>
      <w:r>
        <w:rPr>
          <w:rFonts w:ascii="Times New Roman;Times;Serif" w:hAnsi="Times New Roman;Times;Serif"/>
          <w:b w:val="false"/>
          <w:i w:val="false"/>
          <w:caps w:val="false"/>
          <w:smallCaps w:val="false"/>
          <w:sz w:val="20"/>
        </w:rPr>
        <w:t>001-15911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3_edei--EntityRegistrantName_c2026"/>
      <w:bookmarkEnd w:id="8"/>
      <w:r>
        <w:rPr>
          <w:rFonts w:ascii="Times New Roman;Times;Serif" w:hAnsi="Times New Roman;Times;Serif"/>
          <w:b/>
          <w:i w:val="false"/>
          <w:caps w:val="false"/>
          <w:smallCaps w:val="false"/>
          <w:sz w:val="36"/>
        </w:rPr>
        <w:t>Imunon,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52-1256615</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AddressLine1_"/>
      <w:bookmarkEnd w:id="11"/>
      <w:r>
        <w:rPr>
          <w:rFonts w:ascii="Times New Roman;Times;Serif" w:hAnsi="Times New Roman;Times;Serif"/>
          <w:b/>
          <w:i w:val="false"/>
          <w:caps w:val="false"/>
          <w:smallCaps w:val="false"/>
          <w:sz w:val="20"/>
        </w:rPr>
        <w:t xml:space="preserve">997 Lenox Drive, </w:t>
      </w:r>
      <w:bookmarkStart w:id="12" w:name="xdx_90C_edei--EntityAddressAddressLine2_"/>
      <w:bookmarkEnd w:id="12"/>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C_edei--EntityAddressCityOrTown_c2"/>
      <w:bookmarkEnd w:id="13"/>
      <w:r>
        <w:rPr>
          <w:rFonts w:ascii="Times New Roman;Times;Serif" w:hAnsi="Times New Roman;Times;Serif"/>
          <w:b/>
          <w:i w:val="false"/>
          <w:caps w:val="false"/>
          <w:smallCaps w:val="false"/>
          <w:sz w:val="20"/>
        </w:rPr>
        <w:t>Lawrenceville</w:t>
      </w:r>
      <w:r>
        <w:rPr>
          <w:rFonts w:ascii="Times New Roman;Times;Serif" w:hAnsi="Times New Roman;Times;Serif"/>
          <w:b w:val="false"/>
          <w:i w:val="false"/>
          <w:caps w:val="false"/>
          <w:smallCaps w:val="false"/>
          <w:sz w:val="20"/>
        </w:rPr>
        <w:t xml:space="preserve">, </w:t>
      </w:r>
      <w:bookmarkStart w:id="14" w:name="xdx_90F_edei--EntityAddressStateOrProvin"/>
      <w:bookmarkEnd w:id="14"/>
      <w:r>
        <w:rPr>
          <w:rFonts w:ascii="Times New Roman;Times;Serif" w:hAnsi="Times New Roman;Times;Serif"/>
          <w:b/>
          <w:i w:val="false"/>
          <w:caps w:val="false"/>
          <w:smallCaps w:val="false"/>
          <w:sz w:val="20"/>
        </w:rPr>
        <w:t xml:space="preserve">NJ </w:t>
      </w:r>
      <w:bookmarkStart w:id="15" w:name="xdx_901_edei--EntityAddressPostalZipCode"/>
      <w:bookmarkEnd w:id="15"/>
      <w:r>
        <w:rPr>
          <w:rFonts w:ascii="Times New Roman;Times;Serif" w:hAnsi="Times New Roman;Times;Serif"/>
          <w:b/>
          <w:i w:val="false"/>
          <w:caps w:val="false"/>
          <w:smallCaps w:val="false"/>
          <w:sz w:val="20"/>
        </w:rPr>
        <w:t>08648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A_edei--CityAreaCode_c20260101__20"/>
      <w:bookmarkEnd w:id="16"/>
      <w:r>
        <w:rPr>
          <w:rFonts w:ascii="Times New Roman;Times;Serif" w:hAnsi="Times New Roman;Times;Serif"/>
          <w:b/>
          <w:i w:val="false"/>
          <w:caps w:val="false"/>
          <w:smallCaps w:val="false"/>
          <w:sz w:val="20"/>
        </w:rPr>
        <w:t xml:space="preserve">(609) </w:t>
      </w:r>
      <w:bookmarkStart w:id="17" w:name="xdx_902_edei--LocalPhoneNumber_c20260101"/>
      <w:bookmarkEnd w:id="17"/>
      <w:r>
        <w:rPr>
          <w:rFonts w:ascii="Times New Roman;Times;Serif" w:hAnsi="Times New Roman;Times;Serif"/>
          <w:b/>
          <w:i w:val="false"/>
          <w:caps w:val="false"/>
          <w:smallCaps w:val="false"/>
          <w:sz w:val="20"/>
        </w:rPr>
        <w:t>896-9100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80"/>
        <w:gridCol w:w="60"/>
        <w:gridCol w:w="1505"/>
        <w:gridCol w:w="60"/>
        <w:gridCol w:w="3590"/>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101"/>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0101__2"/>
            <w:bookmarkEnd w:id="19"/>
            <w:r>
              <w:rPr>
                <w:rFonts w:ascii="Times New Roman;Times;Serif" w:hAnsi="Times New Roman;Times;Serif"/>
                <w:b w:val="false"/>
                <w:i w:val="false"/>
                <w:caps w:val="false"/>
                <w:smallCaps w:val="false"/>
                <w:sz w:val="20"/>
              </w:rPr>
              <w:t>IMNN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9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0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45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5_edei--EntityFilerCategory_c20260"/>
            <w:bookmarkEnd w:id="2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F_edei--EntitySmallBusiness_c20260"/>
            <w:bookmarkEnd w:id="24"/>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6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2026, the Registrant had </w:t>
      </w:r>
      <w:bookmarkStart w:id="27" w:name="xdx_90E_edei--EntityCommonStockSharesOut"/>
      <w:bookmarkEnd w:id="27"/>
      <w:r>
        <w:rPr>
          <w:rFonts w:ascii="Times New Roman;Times;Serif" w:hAnsi="Times New Roman;Times;Serif"/>
          <w:b w:val="false"/>
          <w:i w:val="false"/>
          <w:caps w:val="false"/>
          <w:smallCaps w:val="false"/>
          <w:sz w:val="20"/>
        </w:rPr>
        <w:t>5,611,403 shares of common stock, $</w:t>
      </w:r>
      <w:bookmarkStart w:id="28" w:name="xdx_90C_edei--EntityListingParValuePerSh"/>
      <w:bookmarkEnd w:id="28"/>
      <w:r>
        <w:rPr>
          <w:rFonts w:ascii="Times New Roman;Times;Serif" w:hAnsi="Times New Roman;Times;Serif"/>
          <w:b w:val="false"/>
          <w:i w:val="false"/>
          <w:caps w:val="false"/>
          <w:smallCaps w:val="false"/>
          <w:sz w:val="20"/>
        </w:rPr>
        <w:t>0.01 par value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QUARTERLY REPORT 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
        <w:gridCol w:w="8938"/>
        <w:gridCol w:w="619"/>
      </w:tblGrid>
      <w:tr>
        <w:trPr/>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both"/>
              <w:rPr>
                <w:caps w:val="false"/>
                <w:smallCaps w:val="false"/>
              </w:rPr>
            </w:pPr>
            <w:r>
              <w:rPr>
                <w:caps w:val="false"/>
                <w:smallCaps w:val="false"/>
              </w:rPr>
              <w:t> </w:t>
            </w:r>
          </w:p>
        </w:tc>
        <w:tc>
          <w:tcPr>
            <w:tcW w:w="6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9586"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38"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left"/>
              <w:rPr>
                <w:sz w:val="4"/>
                <w:szCs w:val="4"/>
              </w:rPr>
            </w:pPr>
            <w:r>
              <w:rPr>
                <w:sz w:val="4"/>
                <w:szCs w:val="4"/>
              </w:rPr>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(Unaudited) for the Three and Six Months Ended June 30, 2026 and 2025</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Cash Flows (Unaudited) for the Six Months Ended June 30, 2026 and 2025</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Changes in Stockholders’ Equity (Unaudited) for the Three Months Ended June 30, 2026 and 2025</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Condensed Consolidated Statements of Changes in Stockholders’ Equity (Unaudited) for the Six Months Ended June 30, 2026 and 2025</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CCEEFF" w:val="clear"/>
            <w:vAlign w:val="center"/>
          </w:tcPr>
          <w:p>
            <w:pPr>
              <w:pStyle w:val="TableContents"/>
              <w:bidi w:val="0"/>
              <w:spacing w:before="0" w:after="283"/>
              <w:jc w:val="both"/>
              <w:rPr/>
            </w:pPr>
            <w:hyperlink w:anchor="SS_013">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38"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38"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38" w:type="dxa"/>
            <w:tcBorders/>
            <w:shd w:fill="CCEE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Controls and Procedures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86" w:type="dxa"/>
            <w:gridSpan w:val="2"/>
            <w:tcBorders/>
            <w:shd w:fill="CCEEFF" w:val="clear"/>
            <w:vAlign w:val="center"/>
          </w:tcPr>
          <w:p>
            <w:pPr>
              <w:pStyle w:val="TableContents"/>
              <w:bidi w:val="0"/>
              <w:spacing w:before="0" w:after="283"/>
              <w:jc w:val="left"/>
              <w:rPr/>
            </w:pPr>
            <w:r>
              <w:rPr>
                <w:rFonts w:ascii="Times New Roman;Times;Serif" w:hAnsi="Times New Roman;Times;Serif"/>
                <w:b/>
                <w:i w:val="false"/>
                <w:caps w:val="false"/>
                <w:smallCaps w:val="false"/>
                <w:sz w:val="20"/>
              </w:rPr>
              <w:t>PART II:</w:t>
            </w:r>
            <w:hyperlink w:anchor="sp_003">
              <w:r>
                <w:rPr>
                  <w:rStyle w:val="InternetLink"/>
                  <w:rFonts w:ascii="Times New Roman;Times;Serif" w:hAnsi="Times New Roman;Times;Serif"/>
                  <w:b/>
                  <w:i w:val="false"/>
                  <w:caps w:val="false"/>
                  <w:smallCaps w:val="false"/>
                  <w:sz w:val="20"/>
                </w:rPr>
                <w:t>OTHER INFORMATION</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38" w:type="dxa"/>
            <w:tcBorders/>
            <w:shd w:fill="CCEE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Legal Proceedings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38" w:type="dxa"/>
            <w:tcBorders/>
            <w:shd w:fill="CCEE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Risk Factors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38" w:type="dxa"/>
            <w:tcBorders/>
            <w:shd w:fill="CCEEFF" w:val="clear"/>
            <w:vAlign w:val="center"/>
          </w:tcPr>
          <w:p>
            <w:pPr>
              <w:pStyle w:val="TableContents"/>
              <w:bidi w:val="0"/>
              <w:spacing w:before="0" w:after="283"/>
              <w:jc w:val="both"/>
              <w:rPr/>
            </w:pPr>
            <w:hyperlink w:anchor="sp_00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38" w:type="dxa"/>
            <w:tcBorders/>
            <w:shd w:fill="CCEEFF" w:val="clear"/>
            <w:vAlign w:val="center"/>
          </w:tcPr>
          <w:p>
            <w:pPr>
              <w:pStyle w:val="TableContents"/>
              <w:bidi w:val="0"/>
              <w:spacing w:before="0" w:after="283"/>
              <w:jc w:val="both"/>
              <w:rPr/>
            </w:pPr>
            <w:hyperlink w:anchor="sp_007">
              <w:r>
                <w:rPr>
                  <w:rStyle w:val="InternetLink"/>
                  <w:rFonts w:ascii="Times New Roman;Times;Serif" w:hAnsi="Times New Roman;Times;Serif"/>
                  <w:b w:val="false"/>
                  <w:i w:val="false"/>
                  <w:caps w:val="false"/>
                  <w:smallCaps w:val="false"/>
                  <w:sz w:val="20"/>
                </w:rPr>
                <w:t>Defaults Upon Senior Securities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38" w:type="dxa"/>
            <w:tcBorders/>
            <w:shd w:fill="CCEEFF" w:val="clear"/>
            <w:vAlign w:val="center"/>
          </w:tcPr>
          <w:p>
            <w:pPr>
              <w:pStyle w:val="TableContents"/>
              <w:bidi w:val="0"/>
              <w:spacing w:before="0" w:after="283"/>
              <w:jc w:val="both"/>
              <w:rPr/>
            </w:pPr>
            <w:hyperlink w:anchor="sp_008">
              <w:r>
                <w:rPr>
                  <w:rStyle w:val="InternetLink"/>
                  <w:rFonts w:ascii="Times New Roman;Times;Serif" w:hAnsi="Times New Roman;Times;Serif"/>
                  <w:b w:val="false"/>
                  <w:i w:val="false"/>
                  <w:caps w:val="false"/>
                  <w:smallCaps w:val="false"/>
                  <w:sz w:val="20"/>
                </w:rPr>
                <w:t>Mine Safety Disclosures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38" w:type="dxa"/>
            <w:tcBorders/>
            <w:shd w:fill="CCEEFF" w:val="clear"/>
            <w:vAlign w:val="center"/>
          </w:tcPr>
          <w:p>
            <w:pPr>
              <w:pStyle w:val="TableContents"/>
              <w:bidi w:val="0"/>
              <w:spacing w:before="0" w:after="283"/>
              <w:jc w:val="both"/>
              <w:rPr/>
            </w:pPr>
            <w:hyperlink w:anchor="sp_009">
              <w:r>
                <w:rPr>
                  <w:rStyle w:val="InternetLink"/>
                  <w:rFonts w:ascii="Times New Roman;Times;Serif" w:hAnsi="Times New Roman;Times;Serif"/>
                  <w:b w:val="false"/>
                  <w:i w:val="false"/>
                  <w:caps w:val="false"/>
                  <w:smallCaps w:val="false"/>
                  <w:sz w:val="20"/>
                </w:rPr>
                <w:t>Other Information</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38" w:type="dxa"/>
            <w:tcBorders/>
            <w:shd w:fill="CCEEFF" w:val="clear"/>
            <w:vAlign w:val="center"/>
          </w:tcPr>
          <w:p>
            <w:pPr>
              <w:pStyle w:val="TableContents"/>
              <w:bidi w:val="0"/>
              <w:spacing w:before="0" w:after="283"/>
              <w:jc w:val="both"/>
              <w:rPr/>
            </w:pPr>
            <w:hyperlink w:anchor="sp_010">
              <w:r>
                <w:rPr>
                  <w:rStyle w:val="InternetLink"/>
                  <w:rFonts w:ascii="Times New Roman;Times;Serif" w:hAnsi="Times New Roman;Times;Serif"/>
                  <w:b w:val="false"/>
                  <w:i w:val="false"/>
                  <w:caps w:val="false"/>
                  <w:smallCaps w:val="false"/>
                  <w:sz w:val="20"/>
                </w:rPr>
                <w:t>Exhibits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86" w:type="dxa"/>
            <w:gridSpan w:val="2"/>
            <w:tcBorders/>
            <w:shd w:fill="CCEEFF" w:val="clear"/>
            <w:vAlign w:val="center"/>
          </w:tcPr>
          <w:p>
            <w:pPr>
              <w:pStyle w:val="TableContents"/>
              <w:bidi w:val="0"/>
              <w:spacing w:before="0" w:after="283"/>
              <w:jc w:val="both"/>
              <w:rPr/>
            </w:pPr>
            <w:hyperlink w:anchor="sp_011">
              <w:r>
                <w:rPr>
                  <w:rStyle w:val="InternetLink"/>
                  <w:rFonts w:ascii="Times New Roman;Times;Serif" w:hAnsi="Times New Roman;Times;Serif"/>
                  <w:b/>
                  <w:i w:val="false"/>
                  <w:caps w:val="false"/>
                  <w:smallCaps w:val="false"/>
                  <w:sz w:val="20"/>
                </w:rPr>
                <w:t>SIGNATURES</w:t>
              </w:r>
            </w:hyperlink>
          </w:p>
        </w:tc>
        <w:tc>
          <w:tcPr>
            <w:tcW w:w="61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2025,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or revise any forward-looking statements even if new information becomes available in the future,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in this Quarterly Report on Form 10-Q, the “Company,” “Imunon,” “we,” “us,” and “our” refer to Imunon, Inc., a Delaware corporation and its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brand and product names contained in this document are trademarks, registered trademarks, or service marks of Imunon, Inc. or its subsidiaries in the United States (“U.S.”) and certain other countries. This document also contains references to trademarks and service marks of other companies that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29" w:name="a_001"/>
      <w:bookmarkEnd w:id="2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A_111_zlvssJzt326j"/>
      <w:bookmarkStart w:id="33" w:name="xdx_30A_111_zlvssJzt326j"/>
      <w:bookmarkEnd w:id="33"/>
    </w:p>
    <w:tbl>
      <w:tblPr>
        <w:tblW w:w="10205" w:type="dxa"/>
        <w:jc w:val="left"/>
        <w:tblInd w:w="0" w:type="dxa"/>
        <w:tblLayout w:type="fixed"/>
        <w:tblCellMar>
          <w:top w:w="0" w:type="dxa"/>
          <w:left w:w="0" w:type="dxa"/>
          <w:bottom w:w="0" w:type="dxa"/>
          <w:right w:w="0" w:type="dxa"/>
        </w:tblCellMar>
      </w:tblPr>
      <w:tblGrid>
        <w:gridCol w:w="7470"/>
        <w:gridCol w:w="60"/>
        <w:gridCol w:w="140"/>
        <w:gridCol w:w="1100"/>
        <w:gridCol w:w="60"/>
        <w:gridCol w:w="60"/>
        <w:gridCol w:w="140"/>
        <w:gridCol w:w="1100"/>
        <w:gridCol w:w="75"/>
      </w:tblGrid>
      <w:tr>
        <w:trPr/>
        <w:tc>
          <w:tcPr>
            <w:tcW w:w="7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 w:name="xdx_492_20260630_zeNfxhsk80oe"/>
            <w:bookmarkEnd w:id="34"/>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9_20251231_zwEvuQIQTlal"/>
            <w:bookmarkEnd w:id="35"/>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6" w:name="xdx_40E_eus-gaap--AssetsAbstract_iB"/>
            <w:bookmarkEnd w:id="36"/>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 w:name="xdx_402_eus-gaap--AssetsCurrentAbstract_"/>
            <w:bookmarkEnd w:id="37"/>
          </w:p>
        </w:tc>
      </w:tr>
      <w:tr>
        <w:trPr/>
        <w:tc>
          <w:tcPr>
            <w:tcW w:w="74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 w:name="xdx_403_eus-gaap--CashAndCashEquivalents"/>
            <w:bookmarkEnd w:id="38"/>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6,864,378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8,781,059</w:t>
            </w:r>
          </w:p>
        </w:tc>
        <w:tc>
          <w:tcPr>
            <w:tcW w:w="75" w:type="dxa"/>
            <w:tcBorders/>
            <w:shd w:fill="CCEEFF" w:val="clear"/>
            <w:vAlign w:val="center"/>
          </w:tcPr>
          <w:p>
            <w:pPr>
              <w:pStyle w:val="TableContents"/>
              <w:bidi w:val="0"/>
              <w:spacing w:before="0" w:after="283"/>
              <w:jc w:val="left"/>
              <w:rPr/>
            </w:pPr>
            <w:r>
              <w:rPr/>
              <w:t> </w:t>
            </w:r>
            <w:bookmarkStart w:id="39" w:name="xdx_401_eus-gaap--GrantsReceivableCurren"/>
            <w:bookmarkEnd w:id="39"/>
          </w:p>
        </w:tc>
      </w:tr>
      <w:tr>
        <w:trPr/>
        <w:tc>
          <w:tcPr>
            <w:tcW w:w="7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and deposits on clinical programs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1,942,685</w:t>
            </w:r>
          </w:p>
        </w:tc>
        <w:tc>
          <w:tcPr>
            <w:tcW w:w="75" w:type="dxa"/>
            <w:tcBorders/>
            <w:shd w:fill="FFFFFF" w:val="clear"/>
            <w:vAlign w:val="center"/>
          </w:tcPr>
          <w:p>
            <w:pPr>
              <w:pStyle w:val="TableContents"/>
              <w:bidi w:val="0"/>
              <w:spacing w:before="0" w:after="283"/>
              <w:jc w:val="left"/>
              <w:rPr/>
            </w:pPr>
            <w:r>
              <w:rPr/>
              <w:t> </w:t>
            </w:r>
            <w:bookmarkStart w:id="40" w:name="xdx_40D_eus-gaap--AssetsCurrent_i02TI_pp"/>
            <w:bookmarkEnd w:id="40"/>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8,691,203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10,723,744</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1" w:name="xdx_402_eus-gaap--PropertyPlantAndEquipm"/>
            <w:bookmarkEnd w:id="41"/>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(at cost, 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459,016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529,936</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2" w:name="xdx_40D_eus-gaap--OtherAssetsAbstract_i0"/>
            <w:bookmarkEnd w:id="42"/>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 w:name="xdx_40C_eus-gaap--RestrictedCash_i02I_pp"/>
            <w:bookmarkEnd w:id="43"/>
          </w:p>
        </w:tc>
      </w:tr>
      <w:tr>
        <w:trPr/>
        <w:tc>
          <w:tcPr>
            <w:tcW w:w="7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 w:name="xdx_40A_eus-gaap--OperatingLeaseRightOfU"/>
            <w:bookmarkEnd w:id="44"/>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984,436</w:t>
            </w:r>
          </w:p>
        </w:tc>
        <w:tc>
          <w:tcPr>
            <w:tcW w:w="75" w:type="dxa"/>
            <w:tcBorders/>
            <w:shd w:fill="CCEEFF" w:val="clear"/>
            <w:vAlign w:val="center"/>
          </w:tcPr>
          <w:p>
            <w:pPr>
              <w:pStyle w:val="TableContents"/>
              <w:bidi w:val="0"/>
              <w:spacing w:before="0" w:after="283"/>
              <w:jc w:val="left"/>
              <w:rPr/>
            </w:pPr>
            <w:r>
              <w:rPr/>
              <w:t> </w:t>
            </w:r>
            <w:bookmarkStart w:id="45" w:name="xdx_40E_eus-gaap--DepositsAssetsNoncurre"/>
            <w:bookmarkEnd w:id="45"/>
          </w:p>
        </w:tc>
      </w:tr>
      <w:tr>
        <w:trPr/>
        <w:tc>
          <w:tcPr>
            <w:tcW w:w="7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FFFFFF" w:val="clear"/>
            <w:vAlign w:val="center"/>
          </w:tcPr>
          <w:p>
            <w:pPr>
              <w:pStyle w:val="TableContents"/>
              <w:bidi w:val="0"/>
              <w:spacing w:before="0" w:after="283"/>
              <w:jc w:val="left"/>
              <w:rPr/>
            </w:pPr>
            <w:r>
              <w:rPr/>
              <w:t> </w:t>
            </w:r>
            <w:bookmarkStart w:id="46" w:name="xdx_407_eus-gaap--OtherAssetsNoncurrent_"/>
            <w:bookmarkEnd w:id="46"/>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5,838,894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1,034,436</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7" w:name="xdx_40C_eus-gaap--Assets_i01TI_pp0p0_mtA"/>
            <w:bookmarkEnd w:id="47"/>
          </w:p>
        </w:tc>
      </w:tr>
      <w:tr>
        <w:trPr/>
        <w:tc>
          <w:tcPr>
            <w:tcW w:w="74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14,989,113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12,288,116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8" w:name="xdx_40C_eus-gaap--LiabilitiesAndStockhol"/>
            <w:bookmarkEnd w:id="4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9" w:name="xdx_409_eus-gaap--LiabilitiesCurrentAbst"/>
            <w:bookmarkEnd w:id="4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0" w:name="xdx_400_eus-gaap--AccountsPayableTradeCu"/>
            <w:bookmarkEnd w:id="5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1,392,829</w:t>
            </w:r>
          </w:p>
        </w:tc>
        <w:tc>
          <w:tcPr>
            <w:tcW w:w="110" w:type="dxa"/>
            <w:tcBorders/>
            <w:shd w:fill="CCEEFF" w:val="clear"/>
            <w:vAlign w:val="center"/>
          </w:tcPr>
          <w:p>
            <w:pPr>
              <w:pStyle w:val="TableContents"/>
              <w:bidi w:val="0"/>
              <w:spacing w:before="0" w:after="283"/>
              <w:jc w:val="left"/>
              <w:rPr/>
            </w:pPr>
            <w:r>
              <w:rPr/>
              <w:t> </w:t>
            </w:r>
            <w:bookmarkStart w:id="51" w:name="xdx_405_eus-gaap--AccruedLiabilitiesCurr"/>
            <w:bookmarkEnd w:id="51"/>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2,824,646</w:t>
            </w:r>
          </w:p>
        </w:tc>
        <w:tc>
          <w:tcPr>
            <w:tcW w:w="110" w:type="dxa"/>
            <w:tcBorders/>
            <w:shd w:fill="FFFFFF" w:val="clear"/>
            <w:vAlign w:val="center"/>
          </w:tcPr>
          <w:p>
            <w:pPr>
              <w:pStyle w:val="TableContents"/>
              <w:bidi w:val="0"/>
              <w:spacing w:before="0" w:after="283"/>
              <w:jc w:val="left"/>
              <w:rPr/>
            </w:pPr>
            <w:r>
              <w:rPr/>
              <w:t> </w:t>
            </w:r>
            <w:bookmarkStart w:id="52" w:name="xdx_406_eus-gaap--NotesPayableCurrent_i0"/>
            <w:bookmarkEnd w:id="52"/>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 - Note A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3" w:name="xdx_400_eus-gaap--OperatingLeaseLiabilit"/>
            <w:bookmarkEnd w:id="53"/>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406,354</w:t>
            </w:r>
          </w:p>
        </w:tc>
        <w:tc>
          <w:tcPr>
            <w:tcW w:w="110" w:type="dxa"/>
            <w:tcBorders/>
            <w:shd w:fill="FFFFFF" w:val="clear"/>
            <w:vAlign w:val="center"/>
          </w:tcPr>
          <w:p>
            <w:pPr>
              <w:pStyle w:val="TableContents"/>
              <w:bidi w:val="0"/>
              <w:spacing w:before="0" w:after="283"/>
              <w:jc w:val="left"/>
              <w:rPr/>
            </w:pPr>
            <w:r>
              <w:rPr/>
              <w:t> </w:t>
            </w:r>
            <w:bookmarkStart w:id="54" w:name="xdx_403_eus-gaap--LiabilitiesCurrent_i02"/>
            <w:bookmarkEnd w:id="54"/>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4,778,846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4,623,829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 w:name="xdx_40D_eus-gaap--LongTermNotesPayable_i"/>
            <w:bookmarkEnd w:id="55"/>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 - Note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6" w:name="xdx_40C_eus-gaap--LongTermNotesPayable_i"/>
            <w:bookmarkEnd w:id="56"/>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 - Note 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4,860,831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7" w:name="xdx_40A_eus-gaap--LongTermNotesPayable_i"/>
            <w:bookmarkEnd w:id="5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4,860,831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8" w:name="xdx_405_eus-gaap--OperatingLeaseLiabilit"/>
            <w:bookmarkEnd w:id="5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602,411</w:t>
            </w:r>
          </w:p>
        </w:tc>
        <w:tc>
          <w:tcPr>
            <w:tcW w:w="110" w:type="dxa"/>
            <w:tcBorders/>
            <w:shd w:fill="CCEEFF" w:val="clear"/>
            <w:vAlign w:val="center"/>
          </w:tcPr>
          <w:p>
            <w:pPr>
              <w:pStyle w:val="TableContents"/>
              <w:bidi w:val="0"/>
              <w:spacing w:before="0" w:after="283"/>
              <w:jc w:val="left"/>
              <w:rPr/>
            </w:pPr>
            <w:r>
              <w:rPr/>
              <w:t> </w:t>
            </w:r>
            <w:bookmarkStart w:id="59" w:name="xdx_40A_eus-gaap--DerivativeLiabilitiesN"/>
            <w:bookmarkEnd w:id="5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liability associated with redemption feature of Note 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 w:name="xdx_40C_eus-gaap--Liabilities_i01TI_pp0p"/>
            <w:bookmarkEnd w:id="6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10,800,326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5,226,240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1" w:name="xdx_409_eus-gaap--CommitmentsAndContinge"/>
            <w:bookmarkEnd w:id="61"/>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2" w:name="xdx_402_eus-gaap--StockholdersEquityAbst"/>
            <w:bookmarkEnd w:id="62"/>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3" w:name="xdx_403_eus-gaap--PreferredStockValue_i0"/>
            <w:bookmarkEnd w:id="6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 $</w:t>
            </w:r>
            <w:bookmarkStart w:id="64" w:name="xdx_908_eus-gaap--PreferredStockParOrSta"/>
            <w:bookmarkStart w:id="65" w:name="xdx_90A_eus-gaap--PreferredStockParOrSta"/>
            <w:bookmarkEnd w:id="64"/>
            <w:bookmarkEnd w:id="65"/>
            <w:r>
              <w:rPr>
                <w:rFonts w:ascii="Times New Roman;Times;Serif" w:hAnsi="Times New Roman;Times;Serif"/>
              </w:rPr>
              <w:t>0.01 par value (</w:t>
            </w:r>
            <w:bookmarkStart w:id="66" w:name="xdx_90B_eus-gaap--PreferredStockSharesAu"/>
            <w:bookmarkStart w:id="67" w:name="xdx_90C_eus-gaap--PreferredStockSharesAu"/>
            <w:bookmarkEnd w:id="66"/>
            <w:bookmarkEnd w:id="67"/>
            <w:r>
              <w:rPr>
                <w:rFonts w:ascii="Times New Roman;Times;Serif" w:hAnsi="Times New Roman;Times;Serif"/>
              </w:rPr>
              <w:t xml:space="preserve">100,000 shares authorized; </w:t>
            </w:r>
            <w:bookmarkStart w:id="68" w:name="xdx_907_eus-gaap--PreferredStockSharesOu"/>
            <w:bookmarkStart w:id="69" w:name="xdx_90C_eus-gaap--PreferredStockSharesIs"/>
            <w:bookmarkEnd w:id="68"/>
            <w:bookmarkEnd w:id="69"/>
            <w:r>
              <w:rPr>
                <w:rFonts w:ascii="Times New Roman;Times;Serif" w:hAnsi="Times New Roman;Times;Serif"/>
              </w:rPr>
              <w:t xml:space="preserve">250 shares issued and outstanding at June 30, 2026, and </w:t>
            </w:r>
            <w:bookmarkStart w:id="70" w:name="xdx_909_eus-gaap--PreferredStockSharesOu"/>
            <w:bookmarkStart w:id="71" w:name="xdx_902_eus-gaap--PreferredStockSharesIs"/>
            <w:bookmarkEnd w:id="70"/>
            <w:bookmarkEnd w:id="71"/>
            <w:r>
              <w:rPr>
                <w:rFonts w:ascii="Times New Roman;Times;Serif" w:hAnsi="Times New Roman;Times;Serif"/>
              </w:rPr>
              <w:t>no shares issued or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2" w:name="xdx_404_eus-gaap--AdditionalPaidInCapita"/>
            <w:bookmarkEnd w:id="7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 -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3" w:name="xdx_407_eus-gaap--CommonStockValue_i02I_"/>
            <w:bookmarkEnd w:id="7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 $</w:t>
            </w:r>
            <w:bookmarkStart w:id="74" w:name="xdx_90D_eus-gaap--CommonStockParOrStated"/>
            <w:bookmarkStart w:id="75" w:name="xdx_908_eus-gaap--CommonStockParOrStated"/>
            <w:bookmarkEnd w:id="74"/>
            <w:bookmarkEnd w:id="75"/>
            <w:r>
              <w:rPr>
                <w:rFonts w:ascii="Times New Roman;Times;Serif" w:hAnsi="Times New Roman;Times;Serif"/>
              </w:rPr>
              <w:t>0.01 par value (</w:t>
            </w:r>
            <w:bookmarkStart w:id="76" w:name="xdx_906_eus-gaap--CommonStockSharesAutho"/>
            <w:bookmarkStart w:id="77" w:name="xdx_905_eus-gaap--CommonStockSharesAutho"/>
            <w:bookmarkEnd w:id="76"/>
            <w:bookmarkEnd w:id="77"/>
            <w:r>
              <w:rPr>
                <w:rFonts w:ascii="Times New Roman;Times;Serif" w:hAnsi="Times New Roman;Times;Serif"/>
              </w:rPr>
              <w:t xml:space="preserve">350,000,000 shares authorized; </w:t>
            </w:r>
            <w:bookmarkStart w:id="78" w:name="xdx_900_eus-gaap--CommonStockSharesIssue"/>
            <w:bookmarkEnd w:id="78"/>
            <w:r>
              <w:rPr>
                <w:rFonts w:ascii="Times New Roman;Times;Serif" w:hAnsi="Times New Roman;Times;Serif"/>
              </w:rPr>
              <w:t xml:space="preserve">4,665,662 and </w:t>
            </w:r>
            <w:bookmarkStart w:id="79" w:name="xdx_902_eus-gaap--CommonStockSharesIssue"/>
            <w:bookmarkEnd w:id="79"/>
            <w:r>
              <w:rPr>
                <w:rFonts w:ascii="Times New Roman;Times;Serif" w:hAnsi="Times New Roman;Times;Serif"/>
              </w:rPr>
              <w:t xml:space="preserve">3,419,652 shares issued at June 30, 2026 and December 31, 2025, respectively; and </w:t>
            </w:r>
            <w:bookmarkStart w:id="80" w:name="xdx_90B_eus-gaap--CommonStockSharesOutst"/>
            <w:bookmarkEnd w:id="80"/>
            <w:r>
              <w:rPr>
                <w:rFonts w:ascii="Times New Roman;Times;Serif" w:hAnsi="Times New Roman;Times;Serif"/>
              </w:rPr>
              <w:t xml:space="preserve">4,665,660 and </w:t>
            </w:r>
            <w:bookmarkStart w:id="81" w:name="xdx_903_eus-gaap--CommonStockSharesOutst"/>
            <w:bookmarkEnd w:id="81"/>
            <w:r>
              <w:rPr>
                <w:rFonts w:ascii="Times New Roman;Times;Serif" w:hAnsi="Times New Roman;Times;Serif"/>
              </w:rPr>
              <w:t>3,419,650 shares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34,197</w:t>
            </w:r>
          </w:p>
        </w:tc>
        <w:tc>
          <w:tcPr>
            <w:tcW w:w="110" w:type="dxa"/>
            <w:tcBorders/>
            <w:shd w:fill="CCEEFF" w:val="clear"/>
            <w:vAlign w:val="center"/>
          </w:tcPr>
          <w:p>
            <w:pPr>
              <w:pStyle w:val="TableContents"/>
              <w:bidi w:val="0"/>
              <w:spacing w:before="0" w:after="283"/>
              <w:jc w:val="left"/>
              <w:rPr/>
            </w:pPr>
            <w:r>
              <w:rPr/>
              <w:t> </w:t>
            </w:r>
            <w:bookmarkStart w:id="82" w:name="xdx_40D_eus-gaap--CommonStocksIncludingA"/>
            <w:bookmarkEnd w:id="8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430,336,605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428,410,939</w:t>
            </w:r>
          </w:p>
        </w:tc>
        <w:tc>
          <w:tcPr>
            <w:tcW w:w="110" w:type="dxa"/>
            <w:tcBorders/>
            <w:shd w:fill="FFFFFF" w:val="clear"/>
            <w:vAlign w:val="center"/>
          </w:tcPr>
          <w:p>
            <w:pPr>
              <w:pStyle w:val="TableContents"/>
              <w:bidi w:val="0"/>
              <w:spacing w:before="0" w:after="283"/>
              <w:jc w:val="left"/>
              <w:rPr/>
            </w:pPr>
            <w:r>
              <w:rPr/>
              <w:t> </w:t>
            </w:r>
            <w:bookmarkStart w:id="83" w:name="xdx_400_eus-gaap--RetainedEarningsAccumu"/>
            <w:bookmarkEnd w:id="8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(428,361,208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(421,298,072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 w:name="xdx_409_eus-gaap--StockholdersEquityBefo"/>
            <w:bookmarkEnd w:id="84"/>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 before 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4,273,975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7,147,064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5" w:name="xdx_403_eus-gaap--TreasuryStockValue_i02"/>
            <w:bookmarkEnd w:id="85"/>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w:t>
            </w:r>
            <w:bookmarkStart w:id="86" w:name="xdx_903_eus-gaap--TreasuryStockCommonSha"/>
            <w:bookmarkStart w:id="87" w:name="xdx_905_eus-gaap--TreasuryStockCommonSha"/>
            <w:bookmarkEnd w:id="86"/>
            <w:bookmarkEnd w:id="87"/>
            <w:r>
              <w:rPr>
                <w:rFonts w:ascii="Times New Roman;Times;Serif" w:hAnsi="Times New Roman;Times;Serif"/>
              </w:rPr>
              <w:t>2 shares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 w:name="xdx_40E_eus-gaap--StockholdersEquity_i02"/>
            <w:bookmarkEnd w:id="8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4,188,787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7,061,876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 w:name="xdx_401_eus-gaap--LiabilitiesAndStockhol"/>
            <w:bookmarkEnd w:id="89"/>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14,989,113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12,288,116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0" w:name="a_004"/>
      <w:bookmarkEnd w:id="90"/>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 w:name="xdx_304_113_zdRtjfDkK89h"/>
      <w:bookmarkStart w:id="92" w:name="xdx_304_113_zdRtjfDkK89h"/>
      <w:bookmarkEnd w:id="92"/>
    </w:p>
    <w:tbl>
      <w:tblPr>
        <w:tblW w:w="10205" w:type="dxa"/>
        <w:jc w:val="left"/>
        <w:tblInd w:w="0" w:type="dxa"/>
        <w:tblLayout w:type="fixed"/>
        <w:tblCellMar>
          <w:top w:w="0" w:type="dxa"/>
          <w:left w:w="0" w:type="dxa"/>
          <w:bottom w:w="0" w:type="dxa"/>
          <w:right w:w="0" w:type="dxa"/>
        </w:tblCellMar>
      </w:tblPr>
      <w:tblGrid>
        <w:gridCol w:w="4790"/>
        <w:gridCol w:w="60"/>
        <w:gridCol w:w="140"/>
        <w:gridCol w:w="1055"/>
        <w:gridCol w:w="95"/>
        <w:gridCol w:w="60"/>
        <w:gridCol w:w="140"/>
        <w:gridCol w:w="1055"/>
        <w:gridCol w:w="95"/>
        <w:gridCol w:w="60"/>
        <w:gridCol w:w="140"/>
        <w:gridCol w:w="1055"/>
        <w:gridCol w:w="95"/>
        <w:gridCol w:w="60"/>
        <w:gridCol w:w="140"/>
        <w:gridCol w:w="1055"/>
        <w:gridCol w:w="110"/>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3" w:name="xdx_499_20260401__20260630_zNVXHQZE4d29"/>
            <w:bookmarkEnd w:id="93"/>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6_20250401__20250630_zwiNGXSQE3w5"/>
            <w:bookmarkEnd w:id="94"/>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A_20260101__20260630_zFFu37JRoBsg"/>
            <w:bookmarkEnd w:id="9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D_20250101__20250630_zSodrdBcPTe3"/>
            <w:bookmarkEnd w:id="96"/>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97" w:name="xdx_40A_eus-gaap--OperatingExpensesAbstr"/>
            <w:bookmarkEnd w:id="97"/>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6_eus-gaap--ResearchAndDevelopment"/>
            <w:bookmarkEnd w:id="98"/>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1,464,655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1,226,954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3,801,963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3,392,046</w:t>
            </w:r>
          </w:p>
        </w:tc>
        <w:tc>
          <w:tcPr>
            <w:tcW w:w="110" w:type="dxa"/>
            <w:tcBorders/>
            <w:shd w:fill="FFFFFF" w:val="clear"/>
            <w:vAlign w:val="center"/>
          </w:tcPr>
          <w:p>
            <w:pPr>
              <w:pStyle w:val="TableContents"/>
              <w:bidi w:val="0"/>
              <w:spacing w:before="0" w:after="283"/>
              <w:jc w:val="left"/>
              <w:rPr/>
            </w:pPr>
            <w:r>
              <w:rPr/>
              <w:t> </w:t>
            </w:r>
            <w:bookmarkStart w:id="99" w:name="xdx_40B_eus-gaap--GeneralAndAdministrati"/>
            <w:bookmarkEnd w:id="99"/>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1,540,910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3,521,117</w:t>
            </w:r>
          </w:p>
        </w:tc>
        <w:tc>
          <w:tcPr>
            <w:tcW w:w="110" w:type="dxa"/>
            <w:tcBorders/>
            <w:shd w:fill="CCEEFF" w:val="clear"/>
            <w:vAlign w:val="center"/>
          </w:tcPr>
          <w:p>
            <w:pPr>
              <w:pStyle w:val="TableContents"/>
              <w:bidi w:val="0"/>
              <w:spacing w:before="0" w:after="283"/>
              <w:jc w:val="left"/>
              <w:rPr/>
            </w:pPr>
            <w:r>
              <w:rPr/>
              <w:t> </w:t>
            </w:r>
            <w:bookmarkStart w:id="100" w:name="xdx_407_eus-gaap--OperatingExpenses_i01T"/>
            <w:bookmarkEnd w:id="100"/>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2,791,546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6,913,163</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 w:name="xdx_40F_eus-gaap--OperatingIncomeLoss_iT"/>
            <w:bookmarkEnd w:id="101"/>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(2,791,546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(2,767,864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(7,098,098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(6,913,163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 w:name="xdx_40C_eus-gaap--OtherIncomeAndExpenses"/>
            <w:bookmarkEnd w:id="102"/>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4_eus-gaap--InvestmentIncomeNet_i0"/>
            <w:bookmarkEnd w:id="103"/>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70,109</w:t>
            </w:r>
          </w:p>
        </w:tc>
        <w:tc>
          <w:tcPr>
            <w:tcW w:w="110" w:type="dxa"/>
            <w:tcBorders/>
            <w:shd w:fill="CCEEFF" w:val="clear"/>
            <w:vAlign w:val="center"/>
          </w:tcPr>
          <w:p>
            <w:pPr>
              <w:pStyle w:val="TableContents"/>
              <w:bidi w:val="0"/>
              <w:spacing w:before="0" w:after="283"/>
              <w:jc w:val="left"/>
              <w:rPr/>
            </w:pPr>
            <w:r>
              <w:rPr/>
              <w:t> </w:t>
            </w:r>
            <w:bookmarkStart w:id="104" w:name="xdx_40D_eus-gaap--InterestExpenseNonoper"/>
            <w:bookmarkEnd w:id="104"/>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05" w:name="xdx_40A_eus-gaap--DerivativeGainLossOnDe"/>
            <w:bookmarkEnd w:id="105"/>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06" w:name="xdx_404_eus-gaap--NonoperatingIncomeExpe"/>
            <w:bookmarkEnd w:id="106"/>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70,109</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 w:name="xdx_40A_eus-gaap--NetIncomeLoss_iT_mtNIL"/>
            <w:bookmarkEnd w:id="107"/>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(2,740,559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(7,063,136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8" w:name="xdx_400_eus-gaap--PreferredStockDividend"/>
            <w:bookmarkEnd w:id="108"/>
          </w:p>
        </w:tc>
      </w:tr>
      <w:tr>
        <w:trPr/>
        <w:tc>
          <w:tcPr>
            <w:tcW w:w="4790" w:type="dxa"/>
            <w:tcBorders/>
            <w:shd w:fill="FFFFFF" w:val="clear"/>
            <w:vAlign w:val="center"/>
          </w:tcPr>
          <w:p>
            <w:pPr>
              <w:pStyle w:val="TableContents"/>
              <w:bidi w:val="0"/>
              <w:spacing w:before="0" w:after="283"/>
              <w:jc w:val="left"/>
              <w:rPr>
                <w:b/>
              </w:rPr>
            </w:pPr>
            <w:r>
              <w:rPr>
                <w:b/>
              </w:rPr>
              <w:t>Deemed Dividend – Series A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3_eus-gaap--NetIncomeLossAvailable"/>
            <w:bookmarkEnd w:id="109"/>
          </w:p>
        </w:tc>
      </w:tr>
      <w:tr>
        <w:trPr/>
        <w:tc>
          <w:tcPr>
            <w:tcW w:w="4790" w:type="dxa"/>
            <w:tcBorders/>
            <w:shd w:fill="FFFFFF" w:val="clear"/>
            <w:vAlign w:val="center"/>
          </w:tcPr>
          <w:p>
            <w:pPr>
              <w:pStyle w:val="TableContents"/>
              <w:bidi w:val="0"/>
              <w:spacing w:before="0" w:after="283"/>
              <w:jc w:val="left"/>
              <w:rPr>
                <w:b/>
              </w:rPr>
            </w:pPr>
            <w:r>
              <w:rPr>
                <w:b/>
              </w:rPr>
              <w:t>Net loss available to common share available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(2,832,166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(2,740,559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(7,081,188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(6,843,054</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B_eus-gaap--EarningsPerShareAbstra"/>
            <w:bookmarkEnd w:id="110"/>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 available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1" w:name="xdx_909_eus-gaap--EarningsPerShareDilute"/>
            <w:bookmarkStart w:id="112" w:name="xdx_90C_eus-gaap--EarningsPerShareBasic_"/>
            <w:bookmarkEnd w:id="111"/>
            <w:bookmarkEnd w:id="112"/>
            <w:r>
              <w:rPr>
                <w:rFonts w:ascii="Times New Roman;Times;Serif" w:hAnsi="Times New Roman;Times;Serif"/>
              </w:rPr>
              <w:t>(0.54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3" w:name="xdx_90A_eus-gaap--EarningsPerShareDilute"/>
            <w:bookmarkStart w:id="114" w:name="xdx_908_eus-gaap--EarningsPerShareBasic_"/>
            <w:bookmarkEnd w:id="113"/>
            <w:bookmarkEnd w:id="114"/>
            <w:r>
              <w:rPr>
                <w:rFonts w:ascii="Times New Roman;Times;Serif" w:hAnsi="Times New Roman;Times;Serif"/>
              </w:rPr>
              <w:t>(2.15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5" w:name="xdx_90B_eus-gaap--EarningsPerShareDilute"/>
            <w:bookmarkStart w:id="116" w:name="xdx_904_eus-gaap--EarningsPerShareBasic_"/>
            <w:bookmarkEnd w:id="115"/>
            <w:bookmarkEnd w:id="116"/>
            <w:r>
              <w:rPr>
                <w:rFonts w:ascii="Times New Roman;Times;Serif" w:hAnsi="Times New Roman;Times;Serif"/>
              </w:rPr>
              <w:t>(1.38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7" w:name="xdx_90C_eus-gaap--EarningsPerShareDilute"/>
            <w:bookmarkStart w:id="118" w:name="xdx_90A_eus-gaap--EarningsPerShareBasic_"/>
            <w:bookmarkEnd w:id="117"/>
            <w:bookmarkEnd w:id="118"/>
            <w:r>
              <w:rPr>
                <w:rFonts w:ascii="Times New Roman;Times;Serif" w:hAnsi="Times New Roman;Times;Serif"/>
              </w:rPr>
              <w:t>(6.08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 w:name="xdx_400_eus-gaap--WeightedAverageNumberO"/>
            <w:bookmarkEnd w:id="119"/>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0" w:name="xdx_907_eus-gaap--WeightedAverageNumberO"/>
            <w:bookmarkStart w:id="121" w:name="xdx_908_eus-gaap--WeightedAverageNumberO"/>
            <w:bookmarkEnd w:id="120"/>
            <w:bookmarkEnd w:id="121"/>
            <w:r>
              <w:rPr>
                <w:rFonts w:ascii="Times New Roman;Times;Serif" w:hAnsi="Times New Roman;Times;Serif"/>
              </w:rPr>
              <w:t>5,232,625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2" w:name="xdx_908_eus-gaap--WeightedAverageNumberO"/>
            <w:bookmarkStart w:id="123" w:name="xdx_90B_eus-gaap--WeightedAverageNumberO"/>
            <w:bookmarkEnd w:id="122"/>
            <w:bookmarkEnd w:id="123"/>
            <w:r>
              <w:rPr>
                <w:rFonts w:ascii="Times New Roman;Times;Serif" w:hAnsi="Times New Roman;Times;Serif"/>
              </w:rPr>
              <w:t>1,277,217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4" w:name="xdx_900_eus-gaap--WeightedAverageNumberO"/>
            <w:bookmarkStart w:id="125" w:name="xdx_902_eus-gaap--WeightedAverageNumberO"/>
            <w:bookmarkEnd w:id="124"/>
            <w:bookmarkEnd w:id="125"/>
            <w:r>
              <w:rPr>
                <w:rFonts w:ascii="Times New Roman;Times;Serif" w:hAnsi="Times New Roman;Times;Serif"/>
              </w:rPr>
              <w:t>5,134,039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6" w:name="xdx_90D_eus-gaap--WeightedAverageNumberO"/>
            <w:bookmarkStart w:id="127" w:name="xdx_901_eus-gaap--WeightedAverageNumberO"/>
            <w:bookmarkEnd w:id="126"/>
            <w:bookmarkEnd w:id="127"/>
            <w:r>
              <w:rPr>
                <w:rFonts w:ascii="Times New Roman;Times;Serif" w:hAnsi="Times New Roman;Times;Serif"/>
              </w:rPr>
              <w:t>1,124,730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a_005"/>
      <w:bookmarkEnd w:id="128"/>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xdx_30E_112_ztqCNqI7Rglg"/>
      <w:bookmarkStart w:id="130" w:name="xdx_30E_112_ztqCNqI7Rglg"/>
      <w:bookmarkEnd w:id="130"/>
    </w:p>
    <w:tbl>
      <w:tblPr>
        <w:tblW w:w="9590" w:type="dxa"/>
        <w:jc w:val="left"/>
        <w:tblInd w:w="0" w:type="dxa"/>
        <w:tblLayout w:type="fixed"/>
        <w:tblCellMar>
          <w:top w:w="0" w:type="dxa"/>
          <w:left w:w="0" w:type="dxa"/>
          <w:bottom w:w="0" w:type="dxa"/>
          <w:right w:w="0" w:type="dxa"/>
        </w:tblCellMar>
      </w:tblPr>
      <w:tblGrid>
        <w:gridCol w:w="6830"/>
        <w:gridCol w:w="60"/>
        <w:gridCol w:w="140"/>
        <w:gridCol w:w="1100"/>
        <w:gridCol w:w="95"/>
        <w:gridCol w:w="60"/>
        <w:gridCol w:w="140"/>
        <w:gridCol w:w="1055"/>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94_20260101__20260630_zjqTm8UPC9C3"/>
            <w:bookmarkEnd w:id="13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3_20250101__20250630_zC6f4Ih3zxL3"/>
            <w:bookmarkEnd w:id="132"/>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133" w:name="xdx_40D_eus-gaap--NetCashProvidedByUsedI"/>
            <w:bookmarkEnd w:id="13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D_eus-gaap--NetIncomeLoss_i01_pp0p"/>
            <w:bookmarkEnd w:id="134"/>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(7,063,136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 w:name="xdx_405_eus-gaap--AdjustmentsNoncashItem"/>
            <w:bookmarkEnd w:id="13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9_eus-gaap--Depreciation_i02_pp0p0"/>
            <w:bookmarkEnd w:id="13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141,690</w:t>
            </w:r>
          </w:p>
        </w:tc>
        <w:tc>
          <w:tcPr>
            <w:tcW w:w="110" w:type="dxa"/>
            <w:tcBorders/>
            <w:shd w:fill="FFFFFF" w:val="clear"/>
            <w:vAlign w:val="center"/>
          </w:tcPr>
          <w:p>
            <w:pPr>
              <w:pStyle w:val="TableContents"/>
              <w:bidi w:val="0"/>
              <w:spacing w:before="0" w:after="283"/>
              <w:jc w:val="left"/>
              <w:rPr/>
            </w:pPr>
            <w:r>
              <w:rPr/>
              <w:t> </w:t>
            </w:r>
            <w:bookmarkStart w:id="137" w:name="xdx_403_eus-gaap--OperatingLeaseRightOfU"/>
            <w:bookmarkEnd w:id="13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220,911</w:t>
            </w:r>
          </w:p>
        </w:tc>
        <w:tc>
          <w:tcPr>
            <w:tcW w:w="110" w:type="dxa"/>
            <w:tcBorders/>
            <w:shd w:fill="CCEEFF" w:val="clear"/>
            <w:vAlign w:val="center"/>
          </w:tcPr>
          <w:p>
            <w:pPr>
              <w:pStyle w:val="TableContents"/>
              <w:bidi w:val="0"/>
              <w:spacing w:before="0" w:after="283"/>
              <w:jc w:val="left"/>
              <w:rPr/>
            </w:pPr>
            <w:r>
              <w:rPr/>
              <w:t> </w:t>
            </w:r>
            <w:bookmarkStart w:id="138" w:name="xdx_409_eus-gaap--ShareBasedCompensation"/>
            <w:bookmarkEnd w:id="138"/>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327,174</w:t>
            </w:r>
          </w:p>
        </w:tc>
        <w:tc>
          <w:tcPr>
            <w:tcW w:w="110" w:type="dxa"/>
            <w:tcBorders/>
            <w:shd w:fill="FFFFFF" w:val="clear"/>
            <w:vAlign w:val="center"/>
          </w:tcPr>
          <w:p>
            <w:pPr>
              <w:pStyle w:val="TableContents"/>
              <w:bidi w:val="0"/>
              <w:spacing w:before="0" w:after="283"/>
              <w:jc w:val="left"/>
              <w:rPr/>
            </w:pPr>
            <w:r>
              <w:rPr/>
              <w:t> </w:t>
            </w:r>
            <w:bookmarkStart w:id="139" w:name="xdx_406_ecustom--CommonStockIssuedInExch"/>
            <w:bookmarkEnd w:id="139"/>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in exchange for compensation and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40" w:name="xdx_403_eus-gaap--DerivativeGainLossOnDe"/>
            <w:bookmarkEnd w:id="140"/>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41" w:name="xdx_406_ecustom--PaymentInKindInterestAc"/>
            <w:bookmarkEnd w:id="141"/>
          </w:p>
        </w:tc>
      </w:tr>
      <w:tr>
        <w:trPr/>
        <w:tc>
          <w:tcPr>
            <w:tcW w:w="6830" w:type="dxa"/>
            <w:tcBorders/>
            <w:shd w:fill="CCEEFF" w:val="clear"/>
            <w:vAlign w:val="center"/>
          </w:tcPr>
          <w:p>
            <w:pPr>
              <w:pStyle w:val="TableContents"/>
              <w:bidi w:val="0"/>
              <w:spacing w:before="0" w:after="283"/>
              <w:jc w:val="left"/>
              <w:rPr/>
            </w:pPr>
            <w:r>
              <w:rPr/>
              <w:t>PIK interest accretion – A-1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2" w:name="xdx_40A_eus-gaap--AmortizationOfDebtDisc"/>
            <w:bookmarkEnd w:id="142"/>
          </w:p>
        </w:tc>
      </w:tr>
      <w:tr>
        <w:trPr/>
        <w:tc>
          <w:tcPr>
            <w:tcW w:w="6830" w:type="dxa"/>
            <w:tcBorders/>
            <w:shd w:fill="FFFFFF" w:val="clear"/>
            <w:vAlign w:val="center"/>
          </w:tcPr>
          <w:p>
            <w:pPr>
              <w:pStyle w:val="TableContents"/>
              <w:bidi w:val="0"/>
              <w:spacing w:before="0" w:after="283"/>
              <w:jc w:val="left"/>
              <w:rPr/>
            </w:pPr>
            <w:r>
              <w:rPr/>
              <w:t>Ammortization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3" w:name="xdx_404_eus-gaap--AmortizationOfFinancin"/>
            <w:bookmarkEnd w:id="143"/>
          </w:p>
        </w:tc>
      </w:tr>
      <w:tr>
        <w:trPr/>
        <w:tc>
          <w:tcPr>
            <w:tcW w:w="6830" w:type="dxa"/>
            <w:tcBorders/>
            <w:shd w:fill="CCEEFF" w:val="clear"/>
            <w:vAlign w:val="center"/>
          </w:tcPr>
          <w:p>
            <w:pPr>
              <w:pStyle w:val="TableContents"/>
              <w:bidi w:val="0"/>
              <w:spacing w:before="0" w:after="283"/>
              <w:jc w:val="left"/>
              <w:rPr/>
            </w:pPr>
            <w:r>
              <w:rPr/>
              <w:t>Ammortization of debt issuance costs – B-Note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4" w:name="xdx_400_eus-gaap--IncreaseDecreaseInOper"/>
            <w:bookmarkEnd w:id="144"/>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changes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 w:name="xdx_408_eus-gaap--IncreaseDecreaseInOthe"/>
            <w:bookmarkEnd w:id="14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deposits,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6" w:name="xdx_408_eus-gaap--IncreaseDecreaseInAcco"/>
            <w:bookmarkEnd w:id="14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381,116</w:t>
            </w:r>
          </w:p>
        </w:tc>
        <w:tc>
          <w:tcPr>
            <w:tcW w:w="110" w:type="dxa"/>
            <w:tcBorders/>
            <w:shd w:fill="FFFFFF" w:val="clear"/>
            <w:vAlign w:val="center"/>
          </w:tcPr>
          <w:p>
            <w:pPr>
              <w:pStyle w:val="TableContents"/>
              <w:bidi w:val="0"/>
              <w:spacing w:before="0" w:after="283"/>
              <w:jc w:val="left"/>
              <w:rPr/>
            </w:pPr>
            <w:r>
              <w:rPr/>
              <w:t> </w:t>
            </w:r>
            <w:bookmarkStart w:id="147" w:name="xdx_408_eus-gaap--NetCashProvidedByUsedI"/>
            <w:bookmarkEnd w:id="14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(7,010,632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(5,798,440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E_eus-gaap--NetCashProvidedByUsedI"/>
            <w:bookmarkEnd w:id="148"/>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9" w:name="xdx_405_eus-gaap--PaymentsToAcquirePrope"/>
            <w:bookmarkEnd w:id="149"/>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0" w:name="xdx_400_eus-gaap--NetCashProvidedByUsedI"/>
            <w:bookmarkEnd w:id="150"/>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(69,080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(276,983</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 w:name="xdx_40F_eus-gaap--NetCashProvidedByUsedI"/>
            <w:bookmarkEnd w:id="151"/>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2" w:name="xdx_406_eus-gaap--ProceedsFromIssuanceOf"/>
            <w:bookmarkEnd w:id="152"/>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2,963,738</w:t>
            </w:r>
          </w:p>
        </w:tc>
        <w:tc>
          <w:tcPr>
            <w:tcW w:w="110" w:type="dxa"/>
            <w:tcBorders/>
            <w:shd w:fill="FFFFFF" w:val="clear"/>
            <w:vAlign w:val="center"/>
          </w:tcPr>
          <w:p>
            <w:pPr>
              <w:pStyle w:val="TableContents"/>
              <w:bidi w:val="0"/>
              <w:spacing w:before="0" w:after="283"/>
              <w:jc w:val="left"/>
              <w:rPr/>
            </w:pPr>
            <w:r>
              <w:rPr/>
              <w:t> </w:t>
            </w:r>
            <w:bookmarkStart w:id="153" w:name="xdx_405_eus-gaap--ProceedsFromIssuanceOf"/>
            <w:bookmarkEnd w:id="153"/>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stock,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bookmarkStart w:id="154" w:name="xdx_40D_eus-gaap--ProceedsFromNotesPayab"/>
            <w:bookmarkEnd w:id="154"/>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notes payable,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FFFFFF" w:val="clear"/>
            <w:vAlign w:val="center"/>
          </w:tcPr>
          <w:p>
            <w:pPr>
              <w:pStyle w:val="TableContents"/>
              <w:bidi w:val="0"/>
              <w:spacing w:before="0" w:after="283"/>
              <w:jc w:val="left"/>
              <w:rPr/>
            </w:pPr>
            <w:r>
              <w:rPr/>
              <w:t> </w:t>
            </w:r>
            <w:bookmarkStart w:id="155" w:name="xdx_408_eus-gaap--PaymentsForRepurchaseO"/>
            <w:bookmarkEnd w:id="155"/>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pre-funded warrants,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56" w:name="xdx_40D_eus-gaap--ProceedsFromOtherEquit"/>
            <w:bookmarkEnd w:id="156"/>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1,967,694</w:t>
            </w:r>
          </w:p>
        </w:tc>
        <w:tc>
          <w:tcPr>
            <w:tcW w:w="110" w:type="dxa"/>
            <w:tcBorders/>
            <w:shd w:fill="FFFFFF" w:val="clear"/>
            <w:vAlign w:val="center"/>
          </w:tcPr>
          <w:p>
            <w:pPr>
              <w:pStyle w:val="TableContents"/>
              <w:bidi w:val="0"/>
              <w:spacing w:before="0" w:after="283"/>
              <w:jc w:val="left"/>
              <w:rPr/>
            </w:pPr>
            <w:r>
              <w:rPr/>
              <w:t> </w:t>
            </w:r>
            <w:bookmarkStart w:id="157" w:name="xdx_406_eus-gaap--NetCashProvidedByUsedI"/>
            <w:bookmarkEnd w:id="157"/>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10,163,031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4,931,432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 w:name="xdx_400_eus-gaap--CashCashEquivalentsRes"/>
            <w:bookmarkEnd w:id="158"/>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3,083,319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(1,143,991</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59" w:name="xdx_40F_eus-gaap--CashCashEquivalentsRes"/>
            <w:bookmarkEnd w:id="159"/>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8,781,059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5,872,767</w:t>
            </w:r>
          </w:p>
        </w:tc>
        <w:tc>
          <w:tcPr>
            <w:tcW w:w="110" w:type="dxa"/>
            <w:tcBorders/>
            <w:shd w:fill="FFFFFF" w:val="clear"/>
            <w:vAlign w:val="center"/>
          </w:tcPr>
          <w:p>
            <w:pPr>
              <w:pStyle w:val="TableContents"/>
              <w:bidi w:val="0"/>
              <w:spacing w:before="0" w:after="283"/>
              <w:jc w:val="left"/>
              <w:rPr/>
            </w:pPr>
            <w:r>
              <w:rPr/>
              <w:t> </w:t>
            </w:r>
            <w:bookmarkStart w:id="160" w:name="xdx_400_eus-gaap--CashCashEquivalentsRes"/>
            <w:bookmarkEnd w:id="160"/>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11,864,378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4,728,776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8093" w:type="dxa"/>
        <w:jc w:val="left"/>
        <w:tblInd w:w="0" w:type="dxa"/>
        <w:tblLayout w:type="fixed"/>
        <w:tblCellMar>
          <w:top w:w="0" w:type="dxa"/>
          <w:left w:w="0" w:type="dxa"/>
          <w:bottom w:w="0" w:type="dxa"/>
          <w:right w:w="0" w:type="dxa"/>
        </w:tblCellMar>
      </w:tblPr>
      <w:tblGrid>
        <w:gridCol w:w="5750"/>
        <w:gridCol w:w="60"/>
        <w:gridCol w:w="154"/>
        <w:gridCol w:w="884"/>
        <w:gridCol w:w="66"/>
        <w:gridCol w:w="66"/>
        <w:gridCol w:w="154"/>
        <w:gridCol w:w="884"/>
        <w:gridCol w:w="75"/>
      </w:tblGrid>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1" w:name="xdx_494_20260101__20260630_zbs0wpsEDJ84"/>
            <w:bookmarkEnd w:id="161"/>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62" w:name="xdx_493_20250101__20250630_zYnDwDzzfrZ7"/>
            <w:bookmarkEnd w:id="162"/>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163" w:name="xdx_403_eus-gaap--SupplementalCashFlowIn"/>
            <w:bookmarkEnd w:id="163"/>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038" w:type="dxa"/>
            <w:gridSpan w:val="2"/>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38"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8" w:type="dxa"/>
            <w:gridSpan w:val="2"/>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38"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4" w:name="xdx_408_eus-gaap--NoncashInvestingAndFin"/>
            <w:bookmarkEnd w:id="164"/>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65" w:name="xdx_40D_ecustom--RecognitionOfRightUseAs"/>
            <w:bookmarkEnd w:id="165"/>
          </w:p>
        </w:tc>
      </w:tr>
      <w:tr>
        <w:trPr/>
        <w:tc>
          <w:tcPr>
            <w:tcW w:w="57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operating lease right-of-use asset and liability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241,830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274,295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6" w:name="a_006"/>
      <w:bookmarkEnd w:id="166"/>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STATEMENTS OF CHANGES IN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7" w:name="xdx_304_114_z2kYWtiJUjOd"/>
      <w:bookmarkStart w:id="168" w:name="xdx_304_114_z2kYWtiJUjOd"/>
      <w:bookmarkEnd w:id="168"/>
    </w:p>
    <w:tbl>
      <w:tblPr>
        <w:tblW w:w="13025"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430"/>
        <w:gridCol w:w="430"/>
        <w:gridCol w:w="60"/>
        <w:gridCol w:w="60"/>
        <w:gridCol w:w="140"/>
        <w:gridCol w:w="980"/>
        <w:gridCol w:w="60"/>
        <w:gridCol w:w="60"/>
        <w:gridCol w:w="60"/>
        <w:gridCol w:w="980"/>
        <w:gridCol w:w="60"/>
        <w:gridCol w:w="60"/>
        <w:gridCol w:w="146"/>
        <w:gridCol w:w="714"/>
        <w:gridCol w:w="60"/>
        <w:gridCol w:w="60"/>
        <w:gridCol w:w="140"/>
        <w:gridCol w:w="1220"/>
        <w:gridCol w:w="95"/>
        <w:gridCol w:w="60"/>
        <w:gridCol w:w="213"/>
        <w:gridCol w:w="497"/>
        <w:gridCol w:w="60"/>
        <w:gridCol w:w="60"/>
        <w:gridCol w:w="140"/>
        <w:gridCol w:w="755"/>
        <w:gridCol w:w="95"/>
        <w:gridCol w:w="60"/>
        <w:gridCol w:w="140"/>
        <w:gridCol w:w="1295"/>
        <w:gridCol w:w="95"/>
        <w:gridCol w:w="60"/>
        <w:gridCol w:w="156"/>
        <w:gridCol w:w="1184"/>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9" w:name="xdx_4B1_us-gaap--StatementEquityComponen"/>
            <w:bookmarkEnd w:id="169"/>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0" w:name="xdx_4BF_us-gaap--StatementEquityComponen"/>
            <w:bookmarkEnd w:id="17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1" w:name="xdx_4B7_us-gaap--StatementEquityComponen"/>
            <w:bookmarkEnd w:id="171"/>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2" w:name="xdx_4BF_us-gaap--StatementEquityComponen"/>
            <w:bookmarkEnd w:id="172"/>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b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3" w:name="xdx_4BF_us-gaap--StatementEquityComponen"/>
            <w:bookmarkEnd w:id="173"/>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 w:name="xdx_4BD_us-gaap--StatementEquityComponen"/>
            <w:bookmarkEnd w:id="174"/>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 w:name="xdx_4B2_zxDqpXzhJ6Yl"/>
            <w:bookmarkEnd w:id="175"/>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br/>
              <w:t>Equity</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 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 Outstanding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b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br/>
              <w:t>Equity</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bookmarkStart w:id="176" w:name="xdx_431_c20260401__20260630_eus-gaap--St"/>
            <w:bookmarkEnd w:id="17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April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77" w:name="xdx_98E_eus-gaap--SharesOutstanding_iS_p"/>
            <w:bookmarkEnd w:id="177"/>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3_eus-gaap--SharesOutstanding_iS_p"/>
            <w:bookmarkEnd w:id="17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3,922,764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428,952,685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bookmarkStart w:id="179" w:name="xdx_98D_eus-gaap--TreasuryStockCommonSha"/>
            <w:bookmarkEnd w:id="179"/>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(425,547,094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3,359,631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B_eus-gaap--NetIncomeLoss_zqU8nOdk"/>
            <w:bookmarkEnd w:id="18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(2,814,114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C_ecustom--StockIssuedDuringPeriod"/>
            <w:bookmarkEnd w:id="18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net of costs and discount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82" w:name="xdx_988_ecustom--StockIssuedDuringPeriod"/>
            <w:bookmarkEnd w:id="182"/>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2,251,921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3" w:name="xdx_403_eus-gaap--StockIssuedDuringPerio"/>
            <w:bookmarkEnd w:id="18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equity through equity financing facilities, net of costs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6_eus-gaap--StockIssuedDuringPerio"/>
            <w:bookmarkEnd w:id="18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842,704</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5" w:name="xdx_400_ecustom--StockIssuedDuringPeriod"/>
            <w:bookmarkEnd w:id="18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7_ecustom--StockIssuedDuringPeriod"/>
            <w:bookmarkEnd w:id="18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3_eus-gaap--StockIssuedDuringPerio"/>
            <w:bookmarkEnd w:id="18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issued for payment of compensation and fees in lieu of cash</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2_eus-gaap--StockIssuedDuringPerio"/>
            <w:bookmarkEnd w:id="18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455,351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9" w:name="xdx_40D_eus-gaap--AdjustmentsToAdditiona"/>
            <w:bookmarkEnd w:id="18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93,281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3D_c20260401__20260630_eus-gaap--St"/>
            <w:bookmarkEnd w:id="19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2026 (unaudited)</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 w:name="xdx_98E_eus-gaap--SharesOutstanding_iE_p"/>
            <w:bookmarkEnd w:id="191"/>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0_eus-gaap--SharesOutstanding_iE_p"/>
            <w:bookmarkEnd w:id="19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4,665,660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430,336,605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3" w:name="xdx_989_eus-gaap--TreasuryStockCommonSha"/>
            <w:bookmarkEnd w:id="193"/>
          </w:p>
        </w:tc>
        <w:tc>
          <w:tcPr>
            <w:tcW w:w="4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(428,361,208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4,188,787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0"/>
        <w:gridCol w:w="60"/>
        <w:gridCol w:w="60"/>
        <w:gridCol w:w="980"/>
        <w:gridCol w:w="60"/>
        <w:gridCol w:w="60"/>
        <w:gridCol w:w="146"/>
        <w:gridCol w:w="714"/>
        <w:gridCol w:w="60"/>
        <w:gridCol w:w="60"/>
        <w:gridCol w:w="140"/>
        <w:gridCol w:w="1220"/>
        <w:gridCol w:w="60"/>
        <w:gridCol w:w="60"/>
        <w:gridCol w:w="213"/>
        <w:gridCol w:w="497"/>
        <w:gridCol w:w="60"/>
        <w:gridCol w:w="60"/>
        <w:gridCol w:w="140"/>
        <w:gridCol w:w="755"/>
        <w:gridCol w:w="95"/>
        <w:gridCol w:w="60"/>
        <w:gridCol w:w="140"/>
        <w:gridCol w:w="1295"/>
        <w:gridCol w:w="95"/>
        <w:gridCol w:w="60"/>
        <w:gridCol w:w="140"/>
        <w:gridCol w:w="1055"/>
        <w:gridCol w:w="110"/>
      </w:tblGrid>
      <w:tr>
        <w:trPr/>
        <w:tc>
          <w:tcPr>
            <w:tcW w:w="1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4" w:name="xdx_4B7_us-gaap--StatementEquityComponen"/>
            <w:bookmarkEnd w:id="194"/>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5" w:name="xdx_4BF_us-gaap--StatementEquityComponen"/>
            <w:bookmarkEnd w:id="195"/>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6" w:name="xdx_4BF_us-gaap--StatementEquityComponen"/>
            <w:bookmarkEnd w:id="196"/>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 w:name="xdx_4BD_us-gaap--StatementEquityComponen"/>
            <w:bookmarkEnd w:id="197"/>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 w:name="xdx_4B2_zAFTFdxYS4p1"/>
            <w:bookmarkEnd w:id="198"/>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99" w:name="xdx_436_c20250401__20250630_eus-gaap--St"/>
            <w:bookmarkEnd w:id="199"/>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April 1,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C_eus-gaap--SharesOutstanding_iS_p"/>
            <w:bookmarkEnd w:id="20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411,433,008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bookmarkStart w:id="201" w:name="xdx_98A_eus-gaap--TreasuryStockCommonSha"/>
            <w:bookmarkEnd w:id="201"/>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(410,905,539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452,028</w:t>
            </w:r>
          </w:p>
        </w:tc>
        <w:tc>
          <w:tcPr>
            <w:tcW w:w="110" w:type="dxa"/>
            <w:tcBorders/>
            <w:shd w:fill="CCEEFF" w:val="clear"/>
            <w:vAlign w:val="center"/>
          </w:tcPr>
          <w:p>
            <w:pPr>
              <w:pStyle w:val="TableContents"/>
              <w:bidi w:val="0"/>
              <w:spacing w:before="0" w:after="283"/>
              <w:jc w:val="left"/>
              <w:rPr/>
            </w:pPr>
            <w:r>
              <w:rPr/>
              <w:t> </w:t>
            </w:r>
          </w:p>
        </w:tc>
      </w:tr>
      <w:tr>
        <w:trPr/>
        <w:tc>
          <w:tcPr>
            <w:tcW w:w="1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05_eus-gaap--NetIncomeLoss_zi6ZXAeK"/>
            <w:bookmarkEnd w:id="202"/>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(2,740,559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3_eus-gaap--StockIssuedDuringPerio"/>
            <w:bookmarkEnd w:id="203"/>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equity through equity financing facilities,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F_eus-gaap--StockIssuedDuringPerio"/>
            <w:bookmarkEnd w:id="20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2,858,046</w:t>
            </w:r>
          </w:p>
        </w:tc>
        <w:tc>
          <w:tcPr>
            <w:tcW w:w="110" w:type="dxa"/>
            <w:tcBorders/>
            <w:shd w:fill="FFFFFF" w:val="clear"/>
            <w:vAlign w:val="center"/>
          </w:tcPr>
          <w:p>
            <w:pPr>
              <w:pStyle w:val="TableContents"/>
              <w:bidi w:val="0"/>
              <w:spacing w:before="0" w:after="283"/>
              <w:jc w:val="left"/>
              <w:rPr/>
            </w:pPr>
            <w:r>
              <w:rPr/>
              <w:t> </w:t>
            </w:r>
            <w:bookmarkStart w:id="205" w:name="xdx_40F_ecustom--IssuanceOfCommonStockUp"/>
            <w:bookmarkEnd w:id="205"/>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F_ecustom--IssuanceOfCommonStockUp"/>
            <w:bookmarkEnd w:id="20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1,967,694</w:t>
            </w:r>
          </w:p>
        </w:tc>
        <w:tc>
          <w:tcPr>
            <w:tcW w:w="110" w:type="dxa"/>
            <w:tcBorders/>
            <w:shd w:fill="CCEEFF" w:val="clear"/>
            <w:vAlign w:val="center"/>
          </w:tcPr>
          <w:p>
            <w:pPr>
              <w:pStyle w:val="TableContents"/>
              <w:bidi w:val="0"/>
              <w:spacing w:before="0" w:after="283"/>
              <w:jc w:val="left"/>
              <w:rPr/>
            </w:pPr>
            <w:r>
              <w:rPr/>
              <w:t> </w:t>
            </w:r>
            <w:bookmarkStart w:id="207" w:name="xdx_40D_eus-gaap--StockIssuedDuringPerio"/>
            <w:bookmarkEnd w:id="207"/>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restricted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8" w:name="xdx_984_eus-gaap--StockIssuedDuringPerio"/>
            <w:bookmarkEnd w:id="20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pPr>
            <w:r>
              <w:rPr/>
              <w:t> </w:t>
            </w:r>
            <w:bookmarkStart w:id="209" w:name="xdx_400_eus-gaap--AdjustmentsToAdditiona"/>
            <w:bookmarkEnd w:id="209"/>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122,631</w:t>
            </w:r>
          </w:p>
        </w:tc>
        <w:tc>
          <w:tcPr>
            <w:tcW w:w="110" w:type="dxa"/>
            <w:tcBorders/>
            <w:shd w:fill="CCEEFF" w:val="clear"/>
            <w:vAlign w:val="center"/>
          </w:tcPr>
          <w:p>
            <w:pPr>
              <w:pStyle w:val="TableContents"/>
              <w:bidi w:val="0"/>
              <w:spacing w:before="0" w:after="283"/>
              <w:jc w:val="left"/>
              <w:rPr/>
            </w:pPr>
            <w:r>
              <w:rPr/>
              <w:t> </w:t>
            </w:r>
            <w:bookmarkStart w:id="210" w:name="xdx_432_c20250401__20250630_eus-gaap--St"/>
            <w:bookmarkEnd w:id="210"/>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1" w:name="xdx_982_eus-gaap--SharesOutstanding_iE_p"/>
            <w:bookmarkEnd w:id="21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416,373,961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2" w:name="xdx_987_eus-gaap--TreasuryStockCommonSha"/>
            <w:bookmarkEnd w:id="212"/>
          </w:p>
        </w:tc>
        <w:tc>
          <w:tcPr>
            <w:tcW w:w="4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(413,646,098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2,659,850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3" w:name="a_007"/>
      <w:bookmarkEnd w:id="213"/>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STATEMENTS OF CHANGES IN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tbl>
      <w:tblPr>
        <w:tblW w:w="11245" w:type="dxa"/>
        <w:jc w:val="left"/>
        <w:tblInd w:w="0" w:type="dxa"/>
        <w:tblLayout w:type="fixed"/>
        <w:tblCellMar>
          <w:top w:w="0" w:type="dxa"/>
          <w:left w:w="0" w:type="dxa"/>
          <w:bottom w:w="0" w:type="dxa"/>
          <w:right w:w="0" w:type="dxa"/>
        </w:tblCellMar>
      </w:tblPr>
      <w:tblGrid>
        <w:gridCol w:w="1175"/>
        <w:gridCol w:w="60"/>
        <w:gridCol w:w="89"/>
        <w:gridCol w:w="501"/>
        <w:gridCol w:w="60"/>
        <w:gridCol w:w="60"/>
        <w:gridCol w:w="347"/>
        <w:gridCol w:w="348"/>
        <w:gridCol w:w="60"/>
        <w:gridCol w:w="60"/>
        <w:gridCol w:w="125"/>
        <w:gridCol w:w="845"/>
        <w:gridCol w:w="60"/>
        <w:gridCol w:w="60"/>
        <w:gridCol w:w="60"/>
        <w:gridCol w:w="845"/>
        <w:gridCol w:w="60"/>
        <w:gridCol w:w="60"/>
        <w:gridCol w:w="125"/>
        <w:gridCol w:w="590"/>
        <w:gridCol w:w="60"/>
        <w:gridCol w:w="60"/>
        <w:gridCol w:w="125"/>
        <w:gridCol w:w="1055"/>
        <w:gridCol w:w="80"/>
        <w:gridCol w:w="60"/>
        <w:gridCol w:w="191"/>
        <w:gridCol w:w="399"/>
        <w:gridCol w:w="60"/>
        <w:gridCol w:w="60"/>
        <w:gridCol w:w="125"/>
        <w:gridCol w:w="650"/>
        <w:gridCol w:w="80"/>
        <w:gridCol w:w="60"/>
        <w:gridCol w:w="125"/>
        <w:gridCol w:w="1115"/>
        <w:gridCol w:w="80"/>
        <w:gridCol w:w="60"/>
        <w:gridCol w:w="135"/>
        <w:gridCol w:w="980"/>
        <w:gridCol w:w="95"/>
      </w:tblGrid>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4" w:name="xdx_4B1_us-gaap--StatementEquityComponen"/>
            <w:bookmarkEnd w:id="214"/>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5" w:name="xdx_4BF_us-gaap--StatementEquityComponen"/>
            <w:bookmarkEnd w:id="215"/>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Additional</w:t>
            </w:r>
          </w:p>
          <w:p>
            <w:pPr>
              <w:pStyle w:val="TableContents"/>
              <w:bidi w:val="0"/>
              <w:jc w:val="center"/>
              <w:rPr>
                <w:rFonts w:ascii="Times New Roman;Times;Serif" w:hAnsi="Times New Roman;Times;Serif"/>
                <w:b/>
                <w:sz w:val="20"/>
              </w:rPr>
            </w:pPr>
            <w:r>
              <w:rPr>
                <w:rFonts w:ascii="Times New Roman;Times;Serif" w:hAnsi="Times New Roman;Times;Serif"/>
                <w:b/>
                <w:sz w:val="20"/>
              </w:rPr>
              <w:t>Paid-in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6" w:name="xdx_4B7_us-gaap--StatementEquityComponen"/>
            <w:bookmarkEnd w:id="216"/>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7" w:name="xdx_4BF_us-gaap--StatementEquityComponen"/>
            <w:bookmarkEnd w:id="217"/>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br/>
              <w:t xml:space="preserve">Capital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8" w:name="xdx_4BF_us-gaap--StatementEquityComponen"/>
            <w:bookmarkEnd w:id="218"/>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19" w:name="xdx_4BD_us-gaap--StatementEquityComponen"/>
            <w:bookmarkEnd w:id="21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20" w:name="xdx_4B2_zLU9IrQzUKD7"/>
            <w:bookmarkEnd w:id="220"/>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br/>
              <w:t>Equity</w:t>
            </w:r>
          </w:p>
        </w:tc>
        <w:tc>
          <w:tcPr>
            <w:tcW w:w="95" w:type="dxa"/>
            <w:tcBorders/>
            <w:vAlign w:val="center"/>
          </w:tcPr>
          <w:p>
            <w:pPr>
              <w:pStyle w:val="TableContents"/>
              <w:bidi w:val="0"/>
              <w:spacing w:before="0" w:after="283"/>
              <w:jc w:val="center"/>
              <w:rPr/>
            </w:pPr>
            <w:r>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Preferred Stock 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Outstanding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Treasury Stock</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Additional</w:t>
            </w:r>
          </w:p>
          <w:p>
            <w:pPr>
              <w:pStyle w:val="TableContents"/>
              <w:bidi w:val="0"/>
              <w:jc w:val="center"/>
              <w:rPr>
                <w:rFonts w:ascii="Times New Roman;Times;Serif" w:hAnsi="Times New Roman;Times;Serif"/>
                <w:b/>
                <w:sz w:val="20"/>
              </w:rPr>
            </w:pPr>
            <w:r>
              <w:rPr>
                <w:rFonts w:ascii="Times New Roman;Times;Serif" w:hAnsi="Times New Roman;Times;Serif"/>
                <w:b/>
                <w:sz w:val="20"/>
              </w:rPr>
              <w:t>Paid-in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br/>
              <w:t xml:space="preserve">Capital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br/>
              <w:t>Equity</w:t>
            </w:r>
          </w:p>
        </w:tc>
        <w:tc>
          <w:tcPr>
            <w:tcW w:w="95" w:type="dxa"/>
            <w:tcBorders/>
            <w:vAlign w:val="center"/>
          </w:tcPr>
          <w:p>
            <w:pPr>
              <w:pStyle w:val="TableContents"/>
              <w:bidi w:val="0"/>
              <w:spacing w:before="0" w:after="283"/>
              <w:jc w:val="center"/>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bookmarkStart w:id="221" w:name="xdx_43E_c20260101__20260630_eus-gaap--St"/>
            <w:bookmarkEnd w:id="221"/>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22" w:name="xdx_98C_eus-gaap--SharesOutstanding_iS_p"/>
            <w:bookmarkEnd w:id="222"/>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3" w:name="xdx_98D_eus-gaap--SharesOutstanding_iS_p"/>
            <w:bookmarkEnd w:id="22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428,410,939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224" w:name="xdx_98C_eus-gaap--TreasuryStockCommonSha"/>
            <w:bookmarkEnd w:id="224"/>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(421,298,072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7,061,876</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5" w:name="xdx_405_eus-gaap--NetIncomeLoss_zGDQXPEd"/>
            <w:bookmarkEnd w:id="225"/>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6" w:name="xdx_40C_ecustom--StockIssuedDuringPeriod"/>
            <w:bookmarkEnd w:id="226"/>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preferred stock, net of costs and discount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27" w:name="xdx_989_ecustom--StockIssuedDuringPeriod"/>
            <w:bookmarkEnd w:id="227"/>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2,251,921</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8" w:name="xdx_403_eus-gaap--StockIssuedDuringPerio"/>
            <w:bookmarkEnd w:id="228"/>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equity through equity financing facilities, net of costs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9" w:name="xdx_98C_eus-gaap--StockIssuedDuringPerio"/>
            <w:bookmarkEnd w:id="22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842,704</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0" w:name="xdx_400_ecustom--StockIssuedDuringPeriod"/>
            <w:bookmarkEnd w:id="230"/>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1" w:name="xdx_980_ecustom--StockIssuedDuringPeriod"/>
            <w:bookmarkEnd w:id="23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2" w:name="xdx_403_eus-gaap--StockIssuedDuringPerio"/>
            <w:bookmarkEnd w:id="232"/>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issued for payment of compensation and fees in lieu of cash</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3_eus-gaap--StockIssuedDuringPerio"/>
            <w:bookmarkEnd w:id="23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455,351</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4" w:name="xdx_40D_eus-gaap--AdjustmentsToAdditiona"/>
            <w:bookmarkEnd w:id="234"/>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641,871</w:t>
            </w:r>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5" w:name="xdx_439_c20260101__20260630_eus-gaap--St"/>
            <w:bookmarkEnd w:id="235"/>
          </w:p>
        </w:tc>
      </w:tr>
      <w:tr>
        <w:trPr/>
        <w:tc>
          <w:tcPr>
            <w:tcW w:w="1175"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Balance at June 30, 2026 (unaudited)</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6" w:name="xdx_98B_eus-gaap--SharesOutstanding_iE_p"/>
            <w:bookmarkEnd w:id="236"/>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7" w:name="xdx_981_eus-gaap--SharesOutstanding_iE_p"/>
            <w:bookmarkEnd w:id="237"/>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4,665,660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430,336,605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8" w:name="xdx_987_eus-gaap--TreasuryStockCommonSha"/>
            <w:bookmarkEnd w:id="238"/>
          </w:p>
        </w:tc>
        <w:tc>
          <w:tcPr>
            <w:tcW w:w="3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(428,361,208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4,188,787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0"/>
        <w:gridCol w:w="60"/>
        <w:gridCol w:w="60"/>
        <w:gridCol w:w="980"/>
        <w:gridCol w:w="60"/>
        <w:gridCol w:w="60"/>
        <w:gridCol w:w="146"/>
        <w:gridCol w:w="714"/>
        <w:gridCol w:w="60"/>
        <w:gridCol w:w="60"/>
        <w:gridCol w:w="140"/>
        <w:gridCol w:w="1220"/>
        <w:gridCol w:w="60"/>
        <w:gridCol w:w="60"/>
        <w:gridCol w:w="213"/>
        <w:gridCol w:w="497"/>
        <w:gridCol w:w="60"/>
        <w:gridCol w:w="60"/>
        <w:gridCol w:w="140"/>
        <w:gridCol w:w="755"/>
        <w:gridCol w:w="95"/>
        <w:gridCol w:w="60"/>
        <w:gridCol w:w="140"/>
        <w:gridCol w:w="1295"/>
        <w:gridCol w:w="95"/>
        <w:gridCol w:w="60"/>
        <w:gridCol w:w="140"/>
        <w:gridCol w:w="1055"/>
        <w:gridCol w:w="110"/>
      </w:tblGrid>
      <w:tr>
        <w:trPr/>
        <w:tc>
          <w:tcPr>
            <w:tcW w:w="1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9" w:name="xdx_4B7_us-gaap--StatementEquityComponen"/>
            <w:bookmarkEnd w:id="239"/>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0" w:name="xdx_4BF_us-gaap--StatementEquityComponen"/>
            <w:bookmarkEnd w:id="240"/>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1" w:name="xdx_4BF_us-gaap--StatementEquityComponen"/>
            <w:bookmarkEnd w:id="241"/>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2" w:name="xdx_4BD_us-gaap--StatementEquityComponen"/>
            <w:bookmarkEnd w:id="242"/>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3" w:name="xdx_4B2_z9Oflr6WWg97"/>
            <w:bookmarkEnd w:id="243"/>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44" w:name="xdx_435_c20250101__20250630_eus-gaap--St"/>
            <w:bookmarkEnd w:id="244"/>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5" w:name="xdx_985_eus-gaap--SharesOutstanding_iS_p"/>
            <w:bookmarkEnd w:id="24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411,122,863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bookmarkStart w:id="246" w:name="xdx_985_eus-gaap--TreasuryStockCommonSha"/>
            <w:bookmarkEnd w:id="246"/>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(406,803,044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4,244,298</w:t>
            </w:r>
          </w:p>
        </w:tc>
        <w:tc>
          <w:tcPr>
            <w:tcW w:w="110" w:type="dxa"/>
            <w:tcBorders/>
            <w:shd w:fill="CCEEFF" w:val="clear"/>
            <w:vAlign w:val="center"/>
          </w:tcPr>
          <w:p>
            <w:pPr>
              <w:pStyle w:val="TableContents"/>
              <w:bidi w:val="0"/>
              <w:spacing w:before="0" w:after="283"/>
              <w:jc w:val="left"/>
              <w:rPr/>
            </w:pPr>
            <w:r>
              <w:rPr/>
              <w:t> </w:t>
            </w:r>
            <w:bookmarkStart w:id="247" w:name="xdx_430_c20250101__20250630_eus-gaap--St"/>
            <w:bookmarkEnd w:id="247"/>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8" w:name="xdx_98F_eus-gaap--SharesOutstanding_iS_p"/>
            <w:bookmarkEnd w:id="24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411,122,863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bookmarkStart w:id="249" w:name="xdx_982_eus-gaap--TreasuryStockCommonSha"/>
            <w:bookmarkEnd w:id="249"/>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(406,803,044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4,244,298</w:t>
            </w:r>
          </w:p>
        </w:tc>
        <w:tc>
          <w:tcPr>
            <w:tcW w:w="110" w:type="dxa"/>
            <w:tcBorders/>
            <w:shd w:fill="CCEEFF" w:val="clear"/>
            <w:vAlign w:val="center"/>
          </w:tcPr>
          <w:p>
            <w:pPr>
              <w:pStyle w:val="TableContents"/>
              <w:bidi w:val="0"/>
              <w:spacing w:before="0" w:after="283"/>
              <w:jc w:val="left"/>
              <w:rPr/>
            </w:pPr>
            <w:r>
              <w:rPr/>
              <w:t> </w:t>
            </w:r>
          </w:p>
        </w:tc>
      </w:tr>
      <w:tr>
        <w:trPr/>
        <w:tc>
          <w:tcPr>
            <w:tcW w:w="1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5_eus-gaap--NetIncomeLoss_zaRaildR"/>
            <w:bookmarkEnd w:id="250"/>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 w:name="xdx_40D_eus-gaap--StockIssuedDuringPerio"/>
            <w:bookmarkEnd w:id="251"/>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equity through equity financing facilities,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2" w:name="xdx_982_eus-gaap--StockIssuedDuringPerio"/>
            <w:bookmarkEnd w:id="25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2,958,843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2,963,738</w:t>
            </w:r>
          </w:p>
        </w:tc>
        <w:tc>
          <w:tcPr>
            <w:tcW w:w="110" w:type="dxa"/>
            <w:tcBorders/>
            <w:shd w:fill="FFFFFF" w:val="clear"/>
            <w:vAlign w:val="center"/>
          </w:tcPr>
          <w:p>
            <w:pPr>
              <w:pStyle w:val="TableContents"/>
              <w:bidi w:val="0"/>
              <w:spacing w:before="0" w:after="283"/>
              <w:jc w:val="left"/>
              <w:rPr/>
            </w:pPr>
            <w:r>
              <w:rPr/>
              <w:t> </w:t>
            </w:r>
            <w:bookmarkStart w:id="253" w:name="xdx_407_ecustom--IssuanceOfCommonStockUp"/>
            <w:bookmarkEnd w:id="253"/>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4" w:name="xdx_98D_ecustom--IssuanceOfCommonStockUp"/>
            <w:bookmarkEnd w:id="25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1,967,694</w:t>
            </w:r>
          </w:p>
        </w:tc>
        <w:tc>
          <w:tcPr>
            <w:tcW w:w="110" w:type="dxa"/>
            <w:tcBorders/>
            <w:shd w:fill="CCEEFF" w:val="clear"/>
            <w:vAlign w:val="center"/>
          </w:tcPr>
          <w:p>
            <w:pPr>
              <w:pStyle w:val="TableContents"/>
              <w:bidi w:val="0"/>
              <w:spacing w:before="0" w:after="283"/>
              <w:jc w:val="left"/>
              <w:rPr/>
            </w:pPr>
            <w:r>
              <w:rPr/>
              <w:t> </w:t>
            </w:r>
            <w:bookmarkStart w:id="255" w:name="xdx_40C_eus-gaap--StockIssuedDuringPerio"/>
            <w:bookmarkEnd w:id="255"/>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restricted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6" w:name="xdx_981_eus-gaap--StockIssuedDuringPerio"/>
            <w:bookmarkEnd w:id="25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pPr>
            <w:r>
              <w:rPr/>
              <w:t> </w:t>
            </w:r>
            <w:bookmarkStart w:id="257" w:name="xdx_40D_eus-gaap--AdjustmentsToAdditiona"/>
            <w:bookmarkEnd w:id="257"/>
          </w:p>
        </w:tc>
      </w:tr>
      <w:tr>
        <w:trPr/>
        <w:tc>
          <w:tcPr>
            <w:tcW w:w="1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327,164</w:t>
            </w:r>
          </w:p>
        </w:tc>
        <w:tc>
          <w:tcPr>
            <w:tcW w:w="110" w:type="dxa"/>
            <w:tcBorders/>
            <w:shd w:fill="CCEEFF" w:val="clear"/>
            <w:vAlign w:val="center"/>
          </w:tcPr>
          <w:p>
            <w:pPr>
              <w:pStyle w:val="TableContents"/>
              <w:bidi w:val="0"/>
              <w:spacing w:before="0" w:after="283"/>
              <w:jc w:val="left"/>
              <w:rPr/>
            </w:pPr>
            <w:r>
              <w:rPr/>
              <w:t> </w:t>
            </w:r>
            <w:bookmarkStart w:id="258" w:name="xdx_43B_c20250101__20250630_eus-gaap--St"/>
            <w:bookmarkEnd w:id="258"/>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59" w:name="xdx_984_eus-gaap--SharesOutstanding_iE_p"/>
            <w:bookmarkEnd w:id="25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416,373,961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0" w:name="xdx_98C_eus-gaap--TreasuryStockCommonSha"/>
            <w:bookmarkEnd w:id="260"/>
          </w:p>
        </w:tc>
        <w:tc>
          <w:tcPr>
            <w:tcW w:w="4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(413,646,098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2,659,850</w:t>
            </w:r>
          </w:p>
        </w:tc>
        <w:tc>
          <w:tcPr>
            <w:tcW w:w="110" w:type="dxa"/>
            <w:tcBorders/>
            <w:shd w:fill="FFFFFF" w:val="clear"/>
            <w:vAlign w:val="center"/>
          </w:tcPr>
          <w:p>
            <w:pPr>
              <w:pStyle w:val="TableContents"/>
              <w:bidi w:val="0"/>
              <w:spacing w:before="0" w:after="283"/>
              <w:jc w:val="left"/>
              <w:rPr/>
            </w:pPr>
            <w:r>
              <w:rPr/>
              <w:t> </w:t>
            </w:r>
            <w:bookmarkStart w:id="261" w:name="xdx_432_c20250101__20250630_eus-gaap--St"/>
            <w:bookmarkEnd w:id="261"/>
          </w:p>
        </w:tc>
      </w:tr>
      <w:tr>
        <w:trPr/>
        <w:tc>
          <w:tcPr>
            <w:tcW w:w="17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2" w:name="xdx_988_eus-gaap--SharesOutstanding_iE_p"/>
            <w:bookmarkEnd w:id="26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416,373,961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3" w:name="xdx_98F_eus-gaap--TreasuryStockCommonSha"/>
            <w:bookmarkEnd w:id="263"/>
          </w:p>
        </w:tc>
        <w:tc>
          <w:tcPr>
            <w:tcW w:w="4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(413,646,098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2,659,850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 accompanying notes to the unaudited condensed consolidated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4" w:name="SS_013"/>
      <w:bookmarkEnd w:id="264"/>
      <w:r>
        <w:rPr>
          <w:rFonts w:ascii="Times New Roman;Times;Serif" w:hAnsi="Times New Roman;Times;Serif"/>
          <w:b/>
          <w:i w:val="false"/>
          <w:caps w:val="false"/>
          <w:smallCaps w:val="false"/>
          <w:sz w:val="20"/>
        </w:rPr>
        <w:t>IMUNON,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5" w:name="xdx_806_eus-gaap--BusinessDescriptionAnd"/>
      <w:bookmarkEnd w:id="265"/>
      <w:r>
        <w:rPr>
          <w:rFonts w:ascii="Times New Roman;Times;Serif" w:hAnsi="Times New Roman;Times;Serif"/>
          <w:b/>
          <w:i w:val="false"/>
          <w:caps w:val="false"/>
          <w:smallCaps w:val="false"/>
          <w:sz w:val="20"/>
        </w:rPr>
        <w:t xml:space="preserve">Note 1. </w:t>
      </w:r>
      <w:bookmarkStart w:id="266" w:name="xdx_829_zC8VAFWTjkS3"/>
      <w:bookmarkEnd w:id="266"/>
      <w:r>
        <w:rPr>
          <w:rFonts w:ascii="Times New Roman;Times;Serif" w:hAnsi="Times New Roman;Times;Serif"/>
          <w:b/>
          <w:i w:val="false"/>
          <w:caps w:val="false"/>
          <w:smallCaps w:val="false"/>
          <w:sz w:val="20"/>
        </w:rPr>
        <w:t>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Inc. (“Imunon,” the “Company,” “we,” “our,” or “us”)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7" w:name="xdx_808_eus-gaap--BasisOfAccounting_zXQm"/>
      <w:bookmarkEnd w:id="267"/>
      <w:r>
        <w:rPr>
          <w:rFonts w:ascii="Times New Roman;Times;Serif" w:hAnsi="Times New Roman;Times;Serif"/>
          <w:b/>
          <w:i w:val="false"/>
          <w:caps w:val="false"/>
          <w:smallCaps w:val="false"/>
          <w:sz w:val="20"/>
        </w:rPr>
        <w:t xml:space="preserve">Note 2. </w:t>
      </w:r>
      <w:bookmarkStart w:id="268" w:name="xdx_820_znJJDqqSU0gh"/>
      <w:bookmarkEnd w:id="268"/>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which include the accounts of the Company and its wholly owned subsidiaries, have been prepared in accordance with accounting principles generally accepted in the United States (“GAAP”) for interim financial information and with the instructions to Form 10-Q and Article 10 of Regulation S-X. All significant intercompany balances and transactions have been eliminated in consolidation. There have been no changes to the Company’s accounting policies thus far in 2026. Certain information and disclosures normally included in financial statements prepared in accordance with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consisting only of normal recurring accruals considered necessary for a fair presentation, have been included in the accompanying unaudited condensed consolidated financial statements. Operating results for the three-months and six-months ended June 30, 2026, and 2025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2025, filed with the Securities and Exchange Commission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1 to our consolidated financial statements included in our 2025 Annual Report on Form 10-K for the year ended December 31, 2025 filed with the SEC on March 31, 2026. See Note 3 to the Condensed Consolidated Financial Statements contained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is defined as cash held for a specific purpose and not available for immediate general business use. It is classified as a current or non-current asset based on the expected timing of release. All restricted cash is included in the statement of cash flows as part of total cash and cash equivalents. Liquidity ratios exclude restricted cash to reflect actual liquidity. Restrictions are documented and reviewed quarterly. Restricted cash consists of funds held in escrow accounts and cash collateral required under certain loan agreements as more detailed in Note 7.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six months ended June 30, 2026, the Company had a net loss of $</w:t>
      </w:r>
      <w:bookmarkStart w:id="269" w:name="xdx_90A_eus-gaap--NetIncomeLoss_iN_pn5n6"/>
      <w:bookmarkEnd w:id="269"/>
      <w:r>
        <w:rPr>
          <w:rFonts w:ascii="Times New Roman;Times;Serif" w:hAnsi="Times New Roman;Times;Serif"/>
          <w:b w:val="false"/>
          <w:i w:val="false"/>
          <w:caps w:val="false"/>
          <w:smallCaps w:val="false"/>
          <w:sz w:val="20"/>
        </w:rPr>
        <w:t>7.1 million and used $</w:t>
      </w:r>
      <w:bookmarkStart w:id="270" w:name="xdx_903_eus-gaap--NetCashProvidedByUsedI"/>
      <w:bookmarkEnd w:id="270"/>
      <w:r>
        <w:rPr>
          <w:rFonts w:ascii="Times New Roman;Times;Serif" w:hAnsi="Times New Roman;Times;Serif"/>
          <w:b w:val="false"/>
          <w:i w:val="false"/>
          <w:caps w:val="false"/>
          <w:smallCaps w:val="false"/>
          <w:sz w:val="20"/>
        </w:rPr>
        <w:t>7.0 million to fund operations. As of June 30, 2026, the Company incurred approximately $</w:t>
      </w:r>
      <w:bookmarkStart w:id="271" w:name="xdx_908_ecustom--CumulativeNetIncomeLoss"/>
      <w:bookmarkEnd w:id="271"/>
      <w:r>
        <w:rPr>
          <w:rFonts w:ascii="Times New Roman;Times;Serif" w:hAnsi="Times New Roman;Times;Serif"/>
          <w:b w:val="false"/>
          <w:i w:val="false"/>
          <w:caps w:val="false"/>
          <w:smallCaps w:val="false"/>
          <w:sz w:val="20"/>
        </w:rPr>
        <w:t>428 million of cumulative net losses and had $</w:t>
      </w:r>
      <w:bookmarkStart w:id="272" w:name="xdx_90D_eus-gaap--CashCashEquivalentsAnd"/>
      <w:bookmarkEnd w:id="272"/>
      <w:r>
        <w:rPr>
          <w:rFonts w:ascii="Times New Roman;Times;Serif" w:hAnsi="Times New Roman;Times;Serif"/>
          <w:b w:val="false"/>
          <w:i w:val="false"/>
          <w:caps w:val="false"/>
          <w:smallCaps w:val="false"/>
          <w:sz w:val="20"/>
        </w:rPr>
        <w:t>6.9 million in cash and cash equivalents to fund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raise additional capital may be adversely impacted by potential worsening global economic conditions and the recent disruptions to, and volatility in, financial markets in the U.S. and worldwide resulting from the tariffs announcement by the U.S. federal government,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continues to address its current expenditures and will reduce spending where necessary;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continues to pursue additional capital funding in the public and private markets through equity sales and/or debt facilities;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continues to pursue partnerships and collaborations;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continues to pursue out licensing for its drug candidates and/or platform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will depend on its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operations for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includes private or public equity and debt financings, collaborations, or other strategic transactions such as raising funds from investors via its ATM program and other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condensed consolidated financial statements do not include any adjustments relating to the recoverability and classification of assets, carrying amounts or the amount and classification of liabilities that may be required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3" w:name="xdx_805_eus-gaap--NewAccountingPronounce"/>
      <w:bookmarkEnd w:id="273"/>
      <w:r>
        <w:rPr>
          <w:rFonts w:ascii="Times New Roman;Times;Serif" w:hAnsi="Times New Roman;Times;Serif"/>
          <w:b/>
          <w:i w:val="false"/>
          <w:caps w:val="false"/>
          <w:smallCaps w:val="false"/>
          <w:sz w:val="20"/>
        </w:rPr>
        <w:t xml:space="preserve">Note 3. </w:t>
      </w:r>
      <w:bookmarkStart w:id="274" w:name="xdx_820_zEN4GzBIOYX6"/>
      <w:bookmarkEnd w:id="274"/>
      <w:r>
        <w:rPr>
          <w:rFonts w:ascii="Times New Roman;Times;Serif" w:hAnsi="Times New Roman;Times;Serif"/>
          <w:b/>
          <w:i w:val="false"/>
          <w:caps w:val="false"/>
          <w:smallCaps w:val="false"/>
          <w:sz w:val="20"/>
        </w:rPr>
        <w:t xml:space="preserve">New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does not apply to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if any, this change will have on the Company’s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“Narrow Scope Improvements” (“ASU 2025-11”) which is intended to improve the navigability of the guidance in Interim Reporting (Topic 270) and clarify when it applies.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2025-11, the amendments are not intended to “change the fundamental nature of interim reporting or expand or reduce current interim disclosure requirements”. ASU 2025-11 is effective for interim reporting periods beginning after December 15, 2027, with early adoption permitted. The Company does not believe ASU 2025-11 will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items noted above, there have been no new accounting pronouncements not yet effective or adopted in the current year that the Company believes have a material impact, or potential material impact, to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5" w:name="xdx_807_eus-gaap--EarningsPerShareTextBl"/>
      <w:bookmarkEnd w:id="275"/>
      <w:r>
        <w:rPr>
          <w:rFonts w:ascii="Times New Roman;Times;Serif" w:hAnsi="Times New Roman;Times;Serif"/>
          <w:b/>
          <w:i w:val="false"/>
          <w:caps w:val="false"/>
          <w:smallCaps w:val="false"/>
          <w:sz w:val="20"/>
        </w:rPr>
        <w:t xml:space="preserve">Note 4. </w:t>
      </w:r>
      <w:bookmarkStart w:id="276" w:name="xdx_82F_ztThNQh3tGl6"/>
      <w:bookmarkEnd w:id="276"/>
      <w:r>
        <w:rPr>
          <w:rFonts w:ascii="Times New Roman;Times;Serif" w:hAnsi="Times New Roman;Times;Serif"/>
          <w:b/>
          <w:i w:val="false"/>
          <w:caps w:val="false"/>
          <w:smallCaps w:val="false"/>
          <w:sz w:val="20"/>
        </w:rPr>
        <w:t>Net Loss per Common Share available to Common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described in Note 8 of these consolidated financial statements, the Company declared a </w:t>
      </w:r>
      <w:bookmarkStart w:id="277" w:name="xdx_900_eus-gaap--PreferredStockDividend"/>
      <w:bookmarkEnd w:id="277"/>
      <w:r>
        <w:rPr>
          <w:rFonts w:ascii="Times New Roman;Times;Serif" w:hAnsi="Times New Roman;Times;Serif"/>
          <w:b w:val="false"/>
          <w:i w:val="false"/>
          <w:caps w:val="false"/>
          <w:smallCaps w:val="false"/>
          <w:sz w:val="20"/>
        </w:rPr>
        <w:t>15% stock dividend that was distributed on August 21, 2025 to stockholders of record as of August 7, 2025. In accordance with ASC 260, basic and diluted earnings per share amounts and weighted-average shares outstanding have been restated for all periods in 2025 presented to reflect the effect of this stock dividend. The Company did not pay any dividends during the first six months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described in Note 8 of these consolidated financial statements, on December 31, 2025, the Company completed the sale of a security offering that included prefunded warrants to purchase up to </w:t>
      </w:r>
      <w:bookmarkStart w:id="278" w:name="xdx_90D_eus-gaap--ClassOfWarrantOrRightO"/>
      <w:bookmarkEnd w:id="278"/>
      <w:r>
        <w:rPr>
          <w:rFonts w:ascii="Times New Roman;Times;Serif" w:hAnsi="Times New Roman;Times;Serif"/>
          <w:b w:val="false"/>
          <w:i w:val="false"/>
          <w:caps w:val="false"/>
          <w:smallCaps w:val="false"/>
          <w:sz w:val="20"/>
        </w:rPr>
        <w:t>1,609,114 shares of the Company’s common stock for $</w:t>
      </w:r>
      <w:bookmarkStart w:id="279" w:name="xdx_900_eus-gaap--SharePrice_iI_c2025123"/>
      <w:bookmarkEnd w:id="279"/>
      <w:r>
        <w:rPr>
          <w:rFonts w:ascii="Times New Roman;Times;Serif" w:hAnsi="Times New Roman;Times;Serif"/>
          <w:b w:val="false"/>
          <w:i w:val="false"/>
          <w:caps w:val="false"/>
          <w:smallCaps w:val="false"/>
          <w:sz w:val="20"/>
        </w:rPr>
        <w:t xml:space="preserve">0.01 per share of which </w:t>
      </w:r>
      <w:bookmarkStart w:id="280" w:name="xdx_905_eus-gaap--ClassOfWarrantOrRightO"/>
      <w:bookmarkEnd w:id="280"/>
      <w:r>
        <w:rPr>
          <w:rFonts w:ascii="Times New Roman;Times;Serif" w:hAnsi="Times New Roman;Times;Serif"/>
          <w:b w:val="false"/>
          <w:i w:val="false"/>
          <w:caps w:val="false"/>
          <w:smallCaps w:val="false"/>
          <w:sz w:val="20"/>
        </w:rPr>
        <w:t>973,000 remained outstanding as of June 30, 2026. In accordance with ASC 260-10-45-13, these pre-funded warrants, sometimes referred to as penny stock warrants due to their low exercise price ($</w:t>
      </w:r>
      <w:bookmarkStart w:id="281" w:name="xdx_907_eus-gaap--ClassOfWarrantOrRightE"/>
      <w:bookmarkEnd w:id="281"/>
      <w:r>
        <w:rPr>
          <w:rFonts w:ascii="Times New Roman;Times;Serif" w:hAnsi="Times New Roman;Times;Serif"/>
          <w:b w:val="false"/>
          <w:i w:val="false"/>
          <w:caps w:val="false"/>
          <w:smallCaps w:val="false"/>
          <w:sz w:val="20"/>
        </w:rPr>
        <w:t>0.0001/share), are considered outstanding shares for purpose of calculating earnings per share for the three-months and six-months-ended June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three-months and six-months ended June 30, 2026 and 2025, the total number of shares of common stock issuable upon exercise of warrants and equity awards was </w:t>
      </w:r>
      <w:bookmarkStart w:id="282" w:name="xdx_905_eus-gaap--AntidilutiveSecurities"/>
      <w:bookmarkStart w:id="283" w:name="xdx_902_eus-gaap--AntidilutiveSecurities"/>
      <w:bookmarkEnd w:id="282"/>
      <w:bookmarkEnd w:id="283"/>
      <w:r>
        <w:rPr>
          <w:rFonts w:ascii="Times New Roman;Times;Serif" w:hAnsi="Times New Roman;Times;Serif"/>
          <w:b w:val="false"/>
          <w:i w:val="false"/>
          <w:caps w:val="false"/>
          <w:smallCaps w:val="false"/>
          <w:sz w:val="20"/>
        </w:rPr>
        <w:t xml:space="preserve">3,163,007 and </w:t>
      </w:r>
      <w:bookmarkStart w:id="284" w:name="xdx_906_eus-gaap--AntidilutiveSecurities"/>
      <w:bookmarkStart w:id="285" w:name="xdx_906_eus-gaap--AntidilutiveSecurities"/>
      <w:bookmarkEnd w:id="284"/>
      <w:bookmarkEnd w:id="285"/>
      <w:r>
        <w:rPr>
          <w:rFonts w:ascii="Times New Roman;Times;Serif" w:hAnsi="Times New Roman;Times;Serif"/>
          <w:b w:val="false"/>
          <w:i w:val="false"/>
          <w:caps w:val="false"/>
          <w:smallCaps w:val="false"/>
          <w:sz w:val="20"/>
        </w:rPr>
        <w:t>1,198,176, respectively. For the three months and six months ended June 30, 2026 and 2025,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6" w:name="xdx_804_eus-gaap--SegmentReportingDisclo"/>
      <w:bookmarkEnd w:id="286"/>
      <w:r>
        <w:rPr>
          <w:rFonts w:ascii="Times New Roman;Times;Serif" w:hAnsi="Times New Roman;Times;Serif"/>
          <w:b/>
          <w:i w:val="false"/>
          <w:caps w:val="false"/>
          <w:smallCaps w:val="false"/>
          <w:sz w:val="20"/>
        </w:rPr>
        <w:t xml:space="preserve">Note 5. </w:t>
      </w:r>
      <w:bookmarkStart w:id="287" w:name="xdx_827_zVV4PxvHNMyg"/>
      <w:bookmarkEnd w:id="287"/>
      <w:r>
        <w:rPr>
          <w:rFonts w:ascii="Times New Roman;Times;Serif" w:hAnsi="Times New Roman;Times;Serif"/>
          <w:b/>
          <w:i w:val="false"/>
          <w:caps w:val="false"/>
          <w:smallCaps w:val="false"/>
          <w:sz w:val="20"/>
        </w:rPr>
        <w:t>Segment Performance Measures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in </w:t>
      </w:r>
      <w:bookmarkStart w:id="288" w:name="xdx_902_eus-gaap--NumberOfOperatingSegme"/>
      <w:bookmarkEnd w:id="288"/>
      <w:r>
        <w:rPr>
          <w:rFonts w:ascii="Times New Roman;Times;Serif" w:hAnsi="Times New Roman;Times;Serif"/>
          <w:b w:val="false"/>
          <w:i w:val="false"/>
          <w:caps w:val="false"/>
          <w:smallCaps w:val="false"/>
          <w:sz w:val="20"/>
        </w:rPr>
        <w:t xml:space="preserve">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w:t>
      </w:r>
      <w:bookmarkStart w:id="289" w:name="xdx_90B_eus-gaap--NumberOfReportableSegm"/>
      <w:bookmarkEnd w:id="289"/>
      <w:r>
        <w:rPr>
          <w:rFonts w:ascii="Times New Roman;Times;Serif" w:hAnsi="Times New Roman;Times;Serif"/>
          <w:b w:val="false"/>
          <w:i w:val="false"/>
          <w:caps w:val="false"/>
          <w:smallCaps w:val="false"/>
          <w:sz w:val="20"/>
        </w:rPr>
        <w:t>one reportable segment and the strategic purpose of all operating activities (including general and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0" w:name="xdx_89A_eus-gaap--ScheduleOfSegmentRepor"/>
      <w:bookmarkEnd w:id="290"/>
      <w:r>
        <w:rPr>
          <w:rFonts w:ascii="Times New Roman;Times;Serif" w:hAnsi="Times New Roman;Times;Serif"/>
          <w:b w:val="false"/>
          <w:i w:val="false"/>
          <w:caps w:val="false"/>
          <w:smallCaps w:val="false"/>
          <w:sz w:val="20"/>
        </w:rPr>
        <w:t>The table below provides a summary of the significant expense categories and consolidated net loss details provided to the CODM (in thousands):</w:t>
      </w:r>
    </w:p>
    <w:p>
      <w:pPr>
        <w:pStyle w:val="TextBody"/>
        <w:bidi w:val="0"/>
        <w:spacing w:before="0" w:after="0"/>
        <w:ind w:left="0" w:right="0" w:hanging="0"/>
        <w:jc w:val="both"/>
        <w:rPr>
          <w:caps w:val="false"/>
          <w:smallCaps w:val="false"/>
        </w:rPr>
      </w:pPr>
      <w:r>
        <w:rPr>
          <w:caps w:val="false"/>
          <w:smallCaps w:val="false"/>
        </w:rPr>
        <w:t> </w:t>
      </w:r>
      <w:bookmarkStart w:id="291" w:name="xdx_8BE_zUE1awfa1fr4"/>
      <w:bookmarkEnd w:id="291"/>
      <w:r>
        <w:rPr>
          <w:rFonts w:ascii="Times New Roman;Times;Serif" w:hAnsi="Times New Roman;Times;Serif"/>
          <w:b w:val="false"/>
          <w:i w:val="false"/>
          <w:caps w:val="false"/>
          <w:smallCaps w:val="false"/>
          <w:sz w:val="20"/>
        </w:rPr>
        <w:t>Schedule of Significant Expense Categories and Consolidated Net Loss</w:t>
      </w:r>
    </w:p>
    <w:tbl>
      <w:tblPr>
        <w:tblW w:w="8682" w:type="dxa"/>
        <w:jc w:val="left"/>
        <w:tblInd w:w="0" w:type="dxa"/>
        <w:tblLayout w:type="fixed"/>
        <w:tblCellMar>
          <w:top w:w="0" w:type="dxa"/>
          <w:left w:w="0" w:type="dxa"/>
          <w:bottom w:w="0" w:type="dxa"/>
          <w:right w:w="0" w:type="dxa"/>
        </w:tblCellMar>
      </w:tblPr>
      <w:tblGrid>
        <w:gridCol w:w="3500"/>
        <w:gridCol w:w="60"/>
        <w:gridCol w:w="148"/>
        <w:gridCol w:w="672"/>
        <w:gridCol w:w="100"/>
        <w:gridCol w:w="63"/>
        <w:gridCol w:w="148"/>
        <w:gridCol w:w="672"/>
        <w:gridCol w:w="100"/>
        <w:gridCol w:w="63"/>
        <w:gridCol w:w="276"/>
        <w:gridCol w:w="899"/>
        <w:gridCol w:w="186"/>
        <w:gridCol w:w="117"/>
        <w:gridCol w:w="117"/>
        <w:gridCol w:w="1256"/>
        <w:gridCol w:w="30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2" w:name="xdx_493_20260101__20260630__srt--Consoli"/>
            <w:bookmarkEnd w:id="292"/>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293" w:name="xdx_49A_20250101__20250630__srt--Consoli"/>
            <w:bookmarkEnd w:id="293"/>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28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Increase (Decrease)</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Research</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294" w:name="xdx_400_eus-gaap--OperatingCostsAndExpen"/>
            <w:bookmarkEnd w:id="294"/>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OVATION Trials (Phase 2 &amp; 3)</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 w:name="xdx_987_ecustom--IncreaseDecreaseInOpera"/>
            <w:bookmarkEnd w:id="295"/>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bookmarkStart w:id="296" w:name="xdx_981_ecustom--IncreaseDecreaseInOpera"/>
            <w:bookmarkEnd w:id="296"/>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7" w:name="xdx_405_eus-gaap--OperatingCostsAndExpen"/>
            <w:bookmarkEnd w:id="297"/>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MRD Study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bookmarkStart w:id="298" w:name="xdx_984_ecustom--IncreaseDecreaseInOpera"/>
            <w:bookmarkEnd w:id="298"/>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bookmarkStart w:id="299" w:name="xdx_98C_ecustom--IncreaseDecreaseInOpera"/>
            <w:bookmarkEnd w:id="299"/>
          </w:p>
        </w:tc>
        <w:tc>
          <w:tcPr>
            <w:tcW w:w="12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0" w:name="xdx_403_eus-gaap--OperatingCostsAndExpen"/>
            <w:bookmarkEnd w:id="300"/>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PlaCCine Vaccine Phase 1 Trial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bookmarkStart w:id="301" w:name="xdx_98A_ecustom--IncreaseDecreaseInOpera"/>
            <w:bookmarkEnd w:id="301"/>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bookmarkStart w:id="302" w:name="xdx_98C_ecustom--IncreaseDecreaseInOpera"/>
            <w:bookmarkEnd w:id="302"/>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3" w:name="xdx_40F_eus-gaap--OperatingCostsAndExpen"/>
            <w:bookmarkEnd w:id="303"/>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Clinical and Regulatory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4" w:name="xdx_98A_ecustom--IncreaseDecreaseInOpera"/>
            <w:bookmarkEnd w:id="304"/>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05" w:name="xdx_986_ecustom--IncreaseDecreaseInOpera"/>
            <w:bookmarkEnd w:id="305"/>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6" w:name="xdx_401_eus-gaap--OperatingCostsAndExpen"/>
            <w:bookmarkEnd w:id="306"/>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7" w:name="xdx_98B_ecustom--IncreaseDecreaseInOpera"/>
            <w:bookmarkEnd w:id="307"/>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8" w:name="xdx_985_ecustom--IncreaseDecreaseInOpera"/>
            <w:bookmarkEnd w:id="308"/>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Non-Clinical R&amp;D and CMC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309" w:name="xdx_408_eus-gaap--OperatingCostsAndExpen"/>
            <w:bookmarkEnd w:id="309"/>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&amp; Clinical Supply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0" w:name="xdx_98A_ecustom--IncreaseDecreaseInOpera"/>
            <w:bookmarkEnd w:id="310"/>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1" w:name="xdx_988_ecustom--IncreaseDecreaseInOpera"/>
            <w:bookmarkEnd w:id="311"/>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2" w:name="xdx_409_eus-gaap--OperatingCostsAndExpen"/>
            <w:bookmarkEnd w:id="312"/>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3" w:name="xdx_987_ecustom--IncreaseDecreaseInOpera"/>
            <w:bookmarkEnd w:id="313"/>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4" w:name="xdx_989_ecustom--IncreaseDecreaseInOpera"/>
            <w:bookmarkEnd w:id="314"/>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315" w:name="xdx_404_eus-gaap--ResearchAndDevelopment"/>
            <w:bookmarkEnd w:id="315"/>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bookmarkStart w:id="316" w:name="xdx_983_ecustom--IncreaseDecreaseInResea"/>
            <w:bookmarkEnd w:id="316"/>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rPr>
            </w:pPr>
            <w:bookmarkStart w:id="317" w:name="xdx_904_ecustom--IncreaseDecreaseInResea"/>
            <w:bookmarkEnd w:id="317"/>
            <w:r>
              <w:rPr>
                <w:rFonts w:ascii="Times New Roman;Times;Serif" w:hAnsi="Times New Roman;Times;Serif"/>
              </w:rPr>
              <w:t>12.1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8" w:name="xdx_40D_eus-gaap--GeneralAndAdministrati"/>
            <w:bookmarkEnd w:id="318"/>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9" w:name="xdx_988_ecustom--IncreaseDecreaseInGener"/>
            <w:bookmarkEnd w:id="319"/>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20" w:name="xdx_90E_ecustom--IncreaseDecreaseInGener"/>
            <w:bookmarkEnd w:id="320"/>
            <w:r>
              <w:rPr>
                <w:rFonts w:ascii="Times New Roman;Times;Serif" w:hAnsi="Times New Roman;Times;Serif"/>
              </w:rPr>
              <w:t>(6.4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1" w:name="xdx_40B_eus-gaap--OperatingExpenses_pn3n"/>
            <w:bookmarkEnd w:id="321"/>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2" w:name="xdx_98F_ecustom--IncreaseDecreaseInOpera"/>
            <w:bookmarkEnd w:id="322"/>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23" w:name="xdx_904_ecustom--IncreaseDecreaseInOpera"/>
            <w:bookmarkEnd w:id="323"/>
            <w:r>
              <w:rPr>
                <w:rFonts w:ascii="Times New Roman;Times;Serif" w:hAnsi="Times New Roman;Times;Serif"/>
              </w:rPr>
              <w:t>2.7</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324" w:name="xdx_400_eus-gaap--OperatingIncomeLoss_pn"/>
            <w:bookmarkEnd w:id="324"/>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5" w:name="xdx_985_ecustom--IncreaseDecreaseInLossF"/>
            <w:bookmarkEnd w:id="325"/>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26" w:name="xdx_908_ecustom--IncreaseDecreaseInLossF"/>
            <w:bookmarkEnd w:id="326"/>
            <w:r>
              <w:rPr>
                <w:rFonts w:ascii="Times New Roman;Times;Serif" w:hAnsi="Times New Roman;Times;Serif"/>
              </w:rPr>
              <w:t>(2.7</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27" w:name="xdx_8AD_zpWPeBSGqV5b"/>
      <w:bookmarkEnd w:id="3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8" w:name="xdx_807_eus-gaap--AccountsPayableAndAccr"/>
      <w:bookmarkEnd w:id="328"/>
      <w:r>
        <w:rPr>
          <w:rFonts w:ascii="Times New Roman;Times;Serif" w:hAnsi="Times New Roman;Times;Serif"/>
          <w:b/>
          <w:i w:val="false"/>
          <w:caps w:val="false"/>
          <w:smallCaps w:val="false"/>
          <w:sz w:val="20"/>
        </w:rPr>
        <w:t xml:space="preserve">Note 6. </w:t>
      </w:r>
      <w:bookmarkStart w:id="329" w:name="xdx_82B_zyUArJGzLkRa"/>
      <w:bookmarkEnd w:id="329"/>
      <w:r>
        <w:rPr>
          <w:rFonts w:ascii="Times New Roman;Times;Serif" w:hAnsi="Times New Roman;Times;Serif"/>
          <w:b/>
          <w:i w:val="false"/>
          <w:caps w:val="false"/>
          <w:smallCaps w:val="false"/>
          <w:sz w:val="20"/>
        </w:rPr>
        <w:t>Other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0" w:name="xdx_898_eus-gaap--ScheduleOfAccruedLiabi"/>
      <w:bookmarkEnd w:id="330"/>
      <w:r>
        <w:rPr>
          <w:rFonts w:ascii="Times New Roman;Times;Serif" w:hAnsi="Times New Roman;Times;Serif"/>
          <w:b w:val="false"/>
          <w:i w:val="false"/>
          <w:caps w:val="false"/>
          <w:smallCaps w:val="false"/>
          <w:sz w:val="20"/>
        </w:rPr>
        <w:t>Other accrued liabilities at June 30, 2026 and December 31, 2025 include the following:</w:t>
      </w:r>
    </w:p>
    <w:p>
      <w:pPr>
        <w:pStyle w:val="TextBody"/>
        <w:bidi w:val="0"/>
        <w:spacing w:before="0" w:after="0"/>
        <w:ind w:left="0" w:right="0" w:hanging="0"/>
        <w:jc w:val="left"/>
        <w:rPr>
          <w:caps w:val="false"/>
          <w:smallCaps w:val="false"/>
        </w:rPr>
      </w:pPr>
      <w:r>
        <w:rPr>
          <w:caps w:val="false"/>
          <w:smallCaps w:val="false"/>
        </w:rPr>
        <w:t> </w:t>
      </w:r>
      <w:bookmarkStart w:id="331" w:name="xdx_8B0_zCCyVEPjnQ6g"/>
      <w:bookmarkEnd w:id="331"/>
      <w:r>
        <w:rPr>
          <w:rFonts w:ascii="Times New Roman;Times;Serif" w:hAnsi="Times New Roman;Times;Serif"/>
          <w:b w:val="false"/>
          <w:i w:val="false"/>
          <w:caps w:val="false"/>
          <w:smallCaps w:val="false"/>
          <w:sz w:val="20"/>
        </w:rPr>
        <w:t>Schedule of Other Accrued Liabilities</w:t>
      </w:r>
    </w:p>
    <w:tbl>
      <w:tblPr>
        <w:tblW w:w="10205" w:type="dxa"/>
        <w:jc w:val="left"/>
        <w:tblInd w:w="0" w:type="dxa"/>
        <w:tblLayout w:type="fixed"/>
        <w:tblCellMar>
          <w:top w:w="0" w:type="dxa"/>
          <w:left w:w="0" w:type="dxa"/>
          <w:bottom w:w="0" w:type="dxa"/>
          <w:right w:w="0" w:type="dxa"/>
        </w:tblCellMar>
      </w:tblPr>
      <w:tblGrid>
        <w:gridCol w:w="7427"/>
        <w:gridCol w:w="60"/>
        <w:gridCol w:w="140"/>
        <w:gridCol w:w="980"/>
        <w:gridCol w:w="60"/>
        <w:gridCol w:w="60"/>
        <w:gridCol w:w="174"/>
        <w:gridCol w:w="1227"/>
        <w:gridCol w:w="77"/>
      </w:tblGrid>
      <w:tr>
        <w:trPr/>
        <w:tc>
          <w:tcPr>
            <w:tcW w:w="7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94_20260630_zoEt9CdYU3r6"/>
            <w:bookmarkEnd w:id="332"/>
          </w:p>
        </w:tc>
        <w:tc>
          <w:tcPr>
            <w:tcW w:w="11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3" w:name="xdx_492_20251231_zhdvFV6LGy54"/>
            <w:bookmarkEnd w:id="333"/>
          </w:p>
        </w:tc>
        <w:tc>
          <w:tcPr>
            <w:tcW w:w="140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December 31,</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7" w:type="dxa"/>
            <w:tcBorders/>
            <w:vAlign w:val="center"/>
          </w:tcPr>
          <w:p>
            <w:pPr>
              <w:pStyle w:val="TableContents"/>
              <w:bidi w:val="0"/>
              <w:spacing w:before="0" w:after="283"/>
              <w:jc w:val="left"/>
              <w:rPr/>
            </w:pPr>
            <w:r>
              <w:rPr/>
              <w:t> </w:t>
            </w:r>
            <w:bookmarkStart w:id="334" w:name="xdx_404_eus-gaap--ContractualObligation_"/>
            <w:bookmarkEnd w:id="334"/>
          </w:p>
        </w:tc>
      </w:tr>
      <w:tr>
        <w:trPr/>
        <w:tc>
          <w:tcPr>
            <w:tcW w:w="7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contract research organizations and other contractual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1,001,210</w:t>
            </w:r>
          </w:p>
        </w:tc>
        <w:tc>
          <w:tcPr>
            <w:tcW w:w="77" w:type="dxa"/>
            <w:tcBorders/>
            <w:shd w:fill="CCEEFF" w:val="clear"/>
            <w:vAlign w:val="center"/>
          </w:tcPr>
          <w:p>
            <w:pPr>
              <w:pStyle w:val="TableContents"/>
              <w:bidi w:val="0"/>
              <w:spacing w:before="0" w:after="283"/>
              <w:jc w:val="left"/>
              <w:rPr/>
            </w:pPr>
            <w:r>
              <w:rPr/>
              <w:t> </w:t>
            </w:r>
            <w:bookmarkStart w:id="335" w:name="xdx_400_eus-gaap--EmployeeRelatedLiabili"/>
            <w:bookmarkEnd w:id="335"/>
          </w:p>
        </w:tc>
      </w:tr>
      <w:tr>
        <w:trPr/>
        <w:tc>
          <w:tcPr>
            <w:tcW w:w="74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related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1,611,936</w:t>
            </w:r>
          </w:p>
        </w:tc>
        <w:tc>
          <w:tcPr>
            <w:tcW w:w="77" w:type="dxa"/>
            <w:tcBorders/>
            <w:shd w:fill="FFFFFF" w:val="clear"/>
            <w:vAlign w:val="center"/>
          </w:tcPr>
          <w:p>
            <w:pPr>
              <w:pStyle w:val="TableContents"/>
              <w:bidi w:val="0"/>
              <w:spacing w:before="0" w:after="283"/>
              <w:jc w:val="left"/>
              <w:rPr/>
            </w:pPr>
            <w:r>
              <w:rPr/>
              <w:t> </w:t>
            </w:r>
            <w:bookmarkStart w:id="336" w:name="xdx_403_eus-gaap--AccruedProfessionalFee"/>
            <w:bookmarkEnd w:id="336"/>
          </w:p>
        </w:tc>
      </w:tr>
      <w:tr>
        <w:trPr/>
        <w:tc>
          <w:tcPr>
            <w:tcW w:w="7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professional fees, interest expense, franchise taxes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211,500</w:t>
            </w:r>
          </w:p>
        </w:tc>
        <w:tc>
          <w:tcPr>
            <w:tcW w:w="77" w:type="dxa"/>
            <w:tcBorders/>
            <w:shd w:fill="CCEEFF" w:val="clear"/>
            <w:vAlign w:val="center"/>
          </w:tcPr>
          <w:p>
            <w:pPr>
              <w:pStyle w:val="TableContents"/>
              <w:bidi w:val="0"/>
              <w:spacing w:before="0" w:after="283"/>
              <w:jc w:val="left"/>
              <w:rPr/>
            </w:pPr>
            <w:r>
              <w:rPr/>
              <w:t> </w:t>
            </w:r>
            <w:bookmarkStart w:id="337" w:name="xdx_40B_eus-gaap--AccruedLiabilitiesCurr"/>
            <w:bookmarkEnd w:id="337"/>
          </w:p>
        </w:tc>
      </w:tr>
      <w:tr>
        <w:trPr/>
        <w:tc>
          <w:tcPr>
            <w:tcW w:w="742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2,824,646</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38" w:name="xdx_8A0_z2IBgHGrpce6"/>
      <w:bookmarkEnd w:id="3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39" w:name="xdx_804_ecustom--PreferredStockAndNotesP"/>
      <w:bookmarkEnd w:id="339"/>
      <w:r>
        <w:rPr>
          <w:rFonts w:ascii="Times New Roman;Times;Serif" w:hAnsi="Times New Roman;Times;Serif"/>
          <w:b/>
          <w:i w:val="false"/>
          <w:caps w:val="false"/>
          <w:smallCaps w:val="false"/>
          <w:sz w:val="20"/>
        </w:rPr>
        <w:t xml:space="preserve">Note 7. </w:t>
      </w:r>
      <w:bookmarkStart w:id="340" w:name="xdx_825_zaerH75ScS5d"/>
      <w:bookmarkEnd w:id="340"/>
      <w:r>
        <w:rPr>
          <w:rFonts w:ascii="Times New Roman;Times;Serif" w:hAnsi="Times New Roman;Times;Serif"/>
          <w:b/>
          <w:i w:val="false"/>
          <w:caps w:val="false"/>
          <w:smallCaps w:val="false"/>
          <w:sz w:val="20"/>
        </w:rPr>
        <w:t>Preferred Stock and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2026, the Company entered into a Securities Purchase Agreement (the “June 2026 Securities Purchase Agreement”) with Streeterville Capital, LLC (the “Investor”), providing for the issuance and sale by the Company, and the purchase by the Investor, of (i) </w:t>
      </w:r>
      <w:bookmarkStart w:id="341" w:name="xdx_907_eus-gaap--SaleOfStockNumberOfSha"/>
      <w:bookmarkEnd w:id="341"/>
      <w:r>
        <w:rPr>
          <w:rFonts w:ascii="Times New Roman;Times;Serif" w:hAnsi="Times New Roman;Times;Serif"/>
          <w:b w:val="false"/>
          <w:i w:val="false"/>
          <w:caps w:val="false"/>
          <w:smallCaps w:val="false"/>
          <w:sz w:val="20"/>
        </w:rPr>
        <w:t>250 shares (the “Preferred Shares”) of the Company’s Series A Preferred Stock, par value $</w:t>
      </w:r>
      <w:bookmarkStart w:id="342" w:name="xdx_907_eus-gaap--PreferredStockParOrSta"/>
      <w:bookmarkEnd w:id="342"/>
      <w:r>
        <w:rPr>
          <w:rFonts w:ascii="Times New Roman;Times;Serif" w:hAnsi="Times New Roman;Times;Serif"/>
          <w:b w:val="false"/>
          <w:i w:val="false"/>
          <w:caps w:val="false"/>
          <w:smallCaps w:val="false"/>
          <w:sz w:val="20"/>
        </w:rPr>
        <w:t>0.01 per share (the “Series A Preferred Stock”), at an issued value of $</w:t>
      </w:r>
      <w:bookmarkStart w:id="343" w:name="xdx_904_eus-gaap--SharesIssuedPricePerSh"/>
      <w:bookmarkEnd w:id="343"/>
      <w:r>
        <w:rPr>
          <w:rFonts w:ascii="Times New Roman;Times;Serif" w:hAnsi="Times New Roman;Times;Serif"/>
          <w:b w:val="false"/>
          <w:i w:val="false"/>
          <w:caps w:val="false"/>
          <w:smallCaps w:val="false"/>
          <w:sz w:val="20"/>
        </w:rPr>
        <w:t>10,000 per share and a stated value of $</w:t>
      </w:r>
      <w:bookmarkStart w:id="344" w:name="xdx_900_ecustom--PreferredStockStatedVal"/>
      <w:bookmarkEnd w:id="344"/>
      <w:r>
        <w:rPr>
          <w:rFonts w:ascii="Times New Roman;Times;Serif" w:hAnsi="Times New Roman;Times;Serif"/>
          <w:b w:val="false"/>
          <w:i w:val="false"/>
          <w:caps w:val="false"/>
          <w:smallCaps w:val="false"/>
          <w:sz w:val="20"/>
        </w:rPr>
        <w:t>12,000 per share, for aggregate gross proceeds of $</w:t>
      </w:r>
      <w:bookmarkStart w:id="345" w:name="xdx_908_eus-gaap--ProceedsFromIssuanceOf"/>
      <w:bookmarkEnd w:id="345"/>
      <w:r>
        <w:rPr>
          <w:rFonts w:ascii="Times New Roman;Times;Serif" w:hAnsi="Times New Roman;Times;Serif"/>
          <w:b w:val="false"/>
          <w:i w:val="false"/>
          <w:caps w:val="false"/>
          <w:smallCaps w:val="false"/>
          <w:sz w:val="20"/>
        </w:rPr>
        <w:t>2,500,000; (ii) a Secured Promissory Note A-1 in an original principal amount of $</w:t>
      </w:r>
      <w:bookmarkStart w:id="346" w:name="xdx_905_eus-gaap--DebtInstrumentFaceAmou"/>
      <w:bookmarkEnd w:id="346"/>
      <w:r>
        <w:rPr>
          <w:rFonts w:ascii="Times New Roman;Times;Serif" w:hAnsi="Times New Roman;Times;Serif"/>
          <w:b w:val="false"/>
          <w:i w:val="false"/>
          <w:caps w:val="false"/>
          <w:smallCaps w:val="false"/>
          <w:sz w:val="20"/>
        </w:rPr>
        <w:t>2,720,000 (the “A-1 Note”); and (iii) a Secured Promissory Note B in an original principal amount of $</w:t>
      </w:r>
      <w:bookmarkStart w:id="347" w:name="xdx_900_eus-gaap--DebtInstrumentFaceAmou"/>
      <w:bookmarkEnd w:id="347"/>
      <w:r>
        <w:rPr>
          <w:rFonts w:ascii="Times New Roman;Times;Serif" w:hAnsi="Times New Roman;Times;Serif"/>
          <w:b w:val="false"/>
          <w:i w:val="false"/>
          <w:caps w:val="false"/>
          <w:smallCaps w:val="false"/>
          <w:sz w:val="20"/>
        </w:rPr>
        <w:t>5,000,000 (the “B Note” and together with the A-1 Note, the “Notes”). The transactions contemplated by the Securities Purchase Agreement (collectively, the “Transaction”) closed on June 3, 2026 (the “Closing Date”). At closing, the Company received $</w:t>
      </w:r>
      <w:bookmarkStart w:id="348" w:name="xdx_902_eus-gaap--ProceedsFromIssuanceOf"/>
      <w:bookmarkEnd w:id="348"/>
      <w:r>
        <w:rPr>
          <w:rFonts w:ascii="Times New Roman;Times;Serif" w:hAnsi="Times New Roman;Times;Serif"/>
          <w:b w:val="false"/>
          <w:i w:val="false"/>
          <w:caps w:val="false"/>
          <w:smallCaps w:val="false"/>
          <w:sz w:val="20"/>
        </w:rPr>
        <w:t>10,000,000 from the Investor, $</w:t>
      </w:r>
      <w:bookmarkStart w:id="349" w:name="xdx_90B_eus-gaap--PaymentsForDeposits_c2"/>
      <w:bookmarkEnd w:id="349"/>
      <w:r>
        <w:rPr>
          <w:rFonts w:ascii="Times New Roman;Times;Serif" w:hAnsi="Times New Roman;Times;Serif"/>
          <w:b w:val="false"/>
          <w:i w:val="false"/>
          <w:caps w:val="false"/>
          <w:smallCaps w:val="false"/>
          <w:sz w:val="20"/>
        </w:rPr>
        <w:t>5,000,000 of which was deposited into a bank account owned by a wholly owned subsidiary of the Company as cash collateral for the Notes (the “Cash Collateral Account”). The $</w:t>
      </w:r>
      <w:bookmarkStart w:id="350" w:name="xdx_907_eus-gaap--RestrictedCash_iI_c202"/>
      <w:bookmarkEnd w:id="350"/>
      <w:r>
        <w:rPr>
          <w:rFonts w:ascii="Times New Roman;Times;Serif" w:hAnsi="Times New Roman;Times;Serif"/>
          <w:b w:val="false"/>
          <w:i w:val="false"/>
          <w:caps w:val="false"/>
          <w:smallCaps w:val="false"/>
          <w:sz w:val="20"/>
        </w:rPr>
        <w:t>5,000,000 amount is classified as restricted cash on the balance sheet. The obligations under the Notes are secured by substantially all of the assets of the Company, other than its intellectual property assets, and are guaranteed by certain of the Company’s subsidiaries. The Company intends to utilize the $</w:t>
      </w:r>
      <w:bookmarkStart w:id="351" w:name="xdx_906_eus-gaap--PaymentsForOperatingAc"/>
      <w:bookmarkEnd w:id="351"/>
      <w:r>
        <w:rPr>
          <w:rFonts w:ascii="Times New Roman;Times;Serif" w:hAnsi="Times New Roman;Times;Serif"/>
          <w:b w:val="false"/>
          <w:i w:val="false"/>
          <w:caps w:val="false"/>
          <w:smallCaps w:val="false"/>
          <w:sz w:val="20"/>
        </w:rPr>
        <w:t xml:space="preserve">5,000,000 of proceeds from the closing of the Transaction, along with any proceeds later released from the Cash Collateral Account, for general corporate purposes, including research and development activities, capital expenditures and working capital. The Company agreed to pay the placement agents for financing a fee of </w:t>
      </w:r>
      <w:bookmarkStart w:id="352" w:name="xdx_908_ecustom--FinancingFeePercentage_"/>
      <w:bookmarkEnd w:id="352"/>
      <w:r>
        <w:rPr>
          <w:rFonts w:ascii="Times New Roman;Times;Serif" w:hAnsi="Times New Roman;Times;Serif"/>
          <w:b w:val="false"/>
          <w:i w:val="false"/>
          <w:caps w:val="false"/>
          <w:smallCaps w:val="false"/>
          <w:sz w:val="20"/>
        </w:rPr>
        <w:t>7.0% of the gross proceeds received by the Company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3" w:name="xdx_90B_eus-gaap--DebtConversionDescript"/>
      <w:bookmarkEnd w:id="353"/>
      <w:r>
        <w:rPr>
          <w:rFonts w:ascii="Times New Roman;Times;Serif" w:hAnsi="Times New Roman;Times;Serif"/>
          <w:b w:val="false"/>
          <w:i w:val="false"/>
          <w:caps w:val="false"/>
          <w:smallCaps w:val="false"/>
          <w:sz w:val="20"/>
        </w:rPr>
        <w:t>If the aggregate outstanding balance of the A-1 Note or the aggregate number of outstanding Preferred Shares is reduced by $2,000,000, the Company will have the right to exchange up to $1,000,000, plus interest (or, if less than $1,000,000, the entire remaining amount of the B Note, or such other amount as the parties mutually agree), of the B Note for a new secured note in the same form and having the same terms as the A-1 Note (each, a “Note Exchange”). Upon the completion of each Note Exchange, an amount of cash equal to the amount of the B Note exchanged in such Note Exchange will be released from the Cash Collateral Account to the Company. The A-1 Note will bear interest at 8% per annum and will mature 18 months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 Note will bear interest at </w:t>
      </w:r>
      <w:bookmarkStart w:id="354" w:name="xdx_902_eus-gaap--DebtInstrumentInterest"/>
      <w:bookmarkEnd w:id="354"/>
      <w:r>
        <w:rPr>
          <w:rFonts w:ascii="Times New Roman;Times;Serif" w:hAnsi="Times New Roman;Times;Serif"/>
          <w:b w:val="false"/>
          <w:i w:val="false"/>
          <w:caps w:val="false"/>
          <w:smallCaps w:val="false"/>
          <w:sz w:val="20"/>
        </w:rPr>
        <w:t xml:space="preserve">5% per annum and will mature </w:t>
      </w:r>
      <w:bookmarkStart w:id="355" w:name="xdx_901_eus-gaap--DebtInstrumentTerm_dtM"/>
      <w:bookmarkEnd w:id="355"/>
      <w:r>
        <w:rPr>
          <w:rFonts w:ascii="Times New Roman;Times;Serif" w:hAnsi="Times New Roman;Times;Serif"/>
          <w:b w:val="false"/>
          <w:i w:val="false"/>
          <w:caps w:val="false"/>
          <w:smallCaps w:val="false"/>
          <w:sz w:val="20"/>
        </w:rPr>
        <w:t xml:space="preserve">18 months following the Closing Date. </w:t>
      </w:r>
      <w:bookmarkStart w:id="356" w:name="xdx_907_eus-gaap--DebtInstrumentPaymentT"/>
      <w:bookmarkEnd w:id="356"/>
      <w:r>
        <w:rPr>
          <w:rFonts w:ascii="Times New Roman;Times;Serif" w:hAnsi="Times New Roman;Times;Serif"/>
          <w:b w:val="false"/>
          <w:i w:val="false"/>
          <w:caps w:val="false"/>
          <w:smallCaps w:val="false"/>
          <w:sz w:val="20"/>
        </w:rPr>
        <w:t xml:space="preserve">The Notes can be prepaid by the Company in whole or in part at any time, subject to a 10% prepayment premium on any principal amounts prepaid. </w:t>
      </w:r>
      <w:bookmarkStart w:id="357" w:name="xdx_90F_eus-gaap--DebtInstrumentRedempti"/>
      <w:bookmarkEnd w:id="357"/>
      <w:r>
        <w:rPr>
          <w:rFonts w:ascii="Times New Roman;Times;Serif" w:hAnsi="Times New Roman;Times;Serif"/>
          <w:b w:val="false"/>
          <w:i w:val="false"/>
          <w:caps w:val="false"/>
          <w:smallCaps w:val="false"/>
          <w:sz w:val="20"/>
        </w:rPr>
        <w:t xml:space="preserve">Beginning six months after the Closing Date, the Investor may redeem up to $250,000 of the principal amount of the A-1 Note each calendar month. In addition, on any trading day when the Company’s common stock trades at a price that is at least 15% greater than the “Minimum Price” as defined under Nasdaq Stock Market LLC Rule 5635(d), the Investor may redeem an additional principal amount of the Notes equal to 5% of the trading volume of the Company’s common stock on such trading day. The Company will be subject to customary covenants while the Notes remain outstanding. </w:t>
      </w:r>
      <w:bookmarkStart w:id="358" w:name="xdx_90A_eus-gaap--DefaultLongtermDebtDes"/>
      <w:bookmarkEnd w:id="358"/>
      <w:r>
        <w:rPr>
          <w:rFonts w:ascii="Times New Roman;Times;Serif" w:hAnsi="Times New Roman;Times;Serif"/>
          <w:b w:val="false"/>
          <w:i w:val="false"/>
          <w:caps w:val="false"/>
          <w:smallCaps w:val="false"/>
          <w:sz w:val="20"/>
        </w:rPr>
        <w:t>The Notes also contain customary events of default, the occurrence of which would permit the Investor to accelerate the obligations under the Notes and exercise remedies against any collateral (including amounts on deposit in the Cash Collateral Account) or guarantees in respect of the Notes. In addition, following the occurrence of an event of default, the interest rate of each Note would increase to the lesser of 15% per year or the maximum rate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fees totaling $</w:t>
      </w:r>
      <w:bookmarkStart w:id="359" w:name="xdx_90D_eus-gaap--PaymentsForBrokerageFe"/>
      <w:bookmarkEnd w:id="359"/>
      <w:r>
        <w:rPr>
          <w:rFonts w:ascii="Times New Roman;Times;Serif" w:hAnsi="Times New Roman;Times;Serif"/>
          <w:b w:val="false"/>
          <w:i w:val="false"/>
          <w:caps w:val="false"/>
          <w:smallCaps w:val="false"/>
          <w:sz w:val="20"/>
        </w:rPr>
        <w:t>350,000 were allocated between the preferred stock and Note A based on their values. Issuance costs, which primarily include legal fees totaling $</w:t>
      </w:r>
      <w:bookmarkStart w:id="360" w:name="xdx_902_eus-gaap--LegalFees_c20260603__2"/>
      <w:bookmarkEnd w:id="360"/>
      <w:r>
        <w:rPr>
          <w:rFonts w:ascii="Times New Roman;Times;Serif" w:hAnsi="Times New Roman;Times;Serif"/>
          <w:b w:val="false"/>
          <w:i w:val="false"/>
          <w:caps w:val="false"/>
          <w:smallCaps w:val="false"/>
          <w:sz w:val="20"/>
        </w:rPr>
        <w:t>292,310, were allocated between the preferred stock and Note A and Note B based on the face value of each financial instrument and will be amortized over the life of the instruments. The original issuance discount associated with Note A was recorded as a contra-liability to be amortized over the life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Permanent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classified the </w:t>
      </w:r>
      <w:bookmarkStart w:id="361" w:name="xdx_904_eus-gaap--PreferredStockSharesIs"/>
      <w:bookmarkEnd w:id="361"/>
      <w:r>
        <w:rPr>
          <w:rFonts w:ascii="Times New Roman;Times;Serif" w:hAnsi="Times New Roman;Times;Serif"/>
          <w:b w:val="false"/>
          <w:i w:val="false"/>
          <w:caps w:val="false"/>
          <w:smallCaps w:val="false"/>
          <w:sz w:val="20"/>
        </w:rPr>
        <w:t>250 shares of Series A Preferred Stock as permanent stockholders’ equity as of the Closing Date. Under ASC 480-10-S99-3A, an equity instrument must be classified outside of permanent equity if it is redeemable upon the occurrence of an event not solely within the control of the issuer. On July 29, 2026, the Company and the Investor executed an Irrevocable Waiver and Covenant Not to Exercise Redemption Rights (the “Waiver”), effective as of June 2, 2026, under which the Investor irrevocably waived the default redemption right under Section 12(b)(i) of the Certificate of Designation with respect to all events of default. The Waiver is a Type 1 recognized subsequent event under ASC 855-10-25-1 that provides evidence of conditions existing at the June 3, 2026 closing date and confirms the permanent-equity classification applied as of that date. Accordingly, because the Series A Preferred Stock is not redeemable upon an event outside the Company’s control, it is classified as permanent stockholders’ equity in accordance with ASC 480-10-S99-3A.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w:t>
      </w:r>
      <w:bookmarkStart w:id="362" w:name="xdx_90B_eus-gaap--RestrictedCash_iI_c202"/>
      <w:bookmarkEnd w:id="362"/>
      <w:r>
        <w:rPr>
          <w:rFonts w:ascii="Times New Roman;Times;Serif" w:hAnsi="Times New Roman;Times;Serif"/>
          <w:b w:val="false"/>
          <w:i w:val="false"/>
          <w:caps w:val="false"/>
          <w:smallCaps w:val="false"/>
          <w:sz w:val="20"/>
        </w:rPr>
        <w:t>5,000,000 was held in a restricted collateral account at Lakeside Bank in the name of a wholly-owned subsidiary of the Company in connection with the B Note. This amount is classified as restricted cash on the condensed consolidated balance sheet and is included in cash, cash equivalents and restricted cash in the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Note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effective as of June 2, 2026, the Company and the Investor amended the B Note to remove its limited redemption feature — the feature permitting the Investor to redeem principal based on the trading volume of the Company’s common stock on days the stock trades at or above 115% of the Nasdaq Minimum Price. As a result, that feature applies only to the A-1 Note, and no derivative liability was recorded in connection with the 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Embedded Derivative Liability A-1 Note Limited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3" w:name="xdx_90D_eus-gaap--DebtInstrumentRedempti"/>
      <w:bookmarkEnd w:id="363"/>
      <w:r>
        <w:rPr>
          <w:rFonts w:ascii="Times New Roman;Times;Serif" w:hAnsi="Times New Roman;Times;Serif"/>
          <w:b w:val="false"/>
          <w:i w:val="false"/>
          <w:caps w:val="false"/>
          <w:smallCaps w:val="false"/>
          <w:sz w:val="20"/>
        </w:rPr>
        <w:t>The A-1 Note contains a limited redemption feature that permits the Investor, beginning six months after closing, to redeem A-1 Note principal on any trading day on which the Company’s common stock trades at or above 115% of the Nasdaq Minimum Price, in an amount up to 5% of the cumulative daily dollar trading volume in aggregate across the outstanding Notes. The Company determined that this feature is not clearly and closely related to the debt host and meets the definition of a derivative. The feature has been bifurcated and is recorded as a derivative liability measured at fair value, with changes in fair value recognized in the condensed consolidated statements of operations as “Change in fair value of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bifurcated derivative was $</w:t>
      </w:r>
      <w:bookmarkStart w:id="364" w:name="xdx_90E_eus-gaap--DerivativeFairValueOfD"/>
      <w:bookmarkEnd w:id="364"/>
      <w:r>
        <w:rPr>
          <w:rFonts w:ascii="Times New Roman;Times;Serif" w:hAnsi="Times New Roman;Times;Serif"/>
          <w:b w:val="false"/>
          <w:i w:val="false"/>
          <w:caps w:val="false"/>
          <w:smallCaps w:val="false"/>
          <w:sz w:val="20"/>
        </w:rPr>
        <w:t>130,156 at the June 3, 2026 closing date and $</w:t>
      </w:r>
      <w:bookmarkStart w:id="365" w:name="xdx_90D_eus-gaap--DerivativeFairValueOfD"/>
      <w:bookmarkEnd w:id="365"/>
      <w:r>
        <w:rPr>
          <w:rFonts w:ascii="Times New Roman;Times;Serif" w:hAnsi="Times New Roman;Times;Serif"/>
          <w:b w:val="false"/>
          <w:i w:val="false"/>
          <w:caps w:val="false"/>
          <w:smallCaps w:val="false"/>
          <w:sz w:val="20"/>
        </w:rPr>
        <w:t>107,969 at June 30, 2026, resulting in a gain of $</w:t>
      </w:r>
      <w:bookmarkStart w:id="366" w:name="xdx_90A_eus-gaap--DerivativeGainLossOnDe"/>
      <w:bookmarkStart w:id="367" w:name="xdx_90E_eus-gaap--DerivativeGainLossOnDe"/>
      <w:bookmarkEnd w:id="366"/>
      <w:bookmarkEnd w:id="367"/>
      <w:r>
        <w:rPr>
          <w:rFonts w:ascii="Times New Roman;Times;Serif" w:hAnsi="Times New Roman;Times;Serif"/>
          <w:b w:val="false"/>
          <w:i w:val="false"/>
          <w:caps w:val="false"/>
          <w:smallCaps w:val="false"/>
          <w:sz w:val="20"/>
        </w:rPr>
        <w:t>22,187 recognized during the three and six-months ended June 30, 2026. Fair value was determined using a Monte Carlo simulation model classified within Level 3 of the fair value hierarchy. Significant inputs at June 30, 2026 included a common stock price of $</w:t>
      </w:r>
      <w:bookmarkStart w:id="368" w:name="xdx_908_eus-gaap--SharePrice_iI_c2026063"/>
      <w:bookmarkEnd w:id="368"/>
      <w:r>
        <w:rPr>
          <w:rFonts w:ascii="Times New Roman;Times;Serif" w:hAnsi="Times New Roman;Times;Serif"/>
          <w:b w:val="false"/>
          <w:i w:val="false"/>
          <w:caps w:val="false"/>
          <w:smallCaps w:val="false"/>
          <w:sz w:val="20"/>
        </w:rPr>
        <w:t>1.78, a redemption trigger price of $</w:t>
      </w:r>
      <w:bookmarkStart w:id="369" w:name="xdx_900_eus-gaap--DebtInstrumentConverti"/>
      <w:bookmarkEnd w:id="369"/>
      <w:r>
        <w:rPr>
          <w:rFonts w:ascii="Times New Roman;Times;Serif" w:hAnsi="Times New Roman;Times;Serif"/>
          <w:b w:val="false"/>
          <w:i w:val="false"/>
          <w:caps w:val="false"/>
          <w:smallCaps w:val="false"/>
          <w:sz w:val="20"/>
        </w:rPr>
        <w:t>2.461 (</w:t>
      </w:r>
      <w:bookmarkStart w:id="370" w:name="xdx_907_eus-gaap--DebtInstrumentConverti"/>
      <w:bookmarkEnd w:id="370"/>
      <w:r>
        <w:rPr>
          <w:rFonts w:ascii="Times New Roman;Times;Serif" w:hAnsi="Times New Roman;Times;Serif"/>
          <w:b w:val="false"/>
          <w:i w:val="false"/>
          <w:caps w:val="false"/>
          <w:smallCaps w:val="false"/>
          <w:sz w:val="20"/>
        </w:rPr>
        <w:t>115% of the $</w:t>
      </w:r>
      <w:bookmarkStart w:id="371" w:name="xdx_906_eus-gaap--DebtInstrumentConverti"/>
      <w:bookmarkEnd w:id="371"/>
      <w:r>
        <w:rPr>
          <w:rFonts w:ascii="Times New Roman;Times;Serif" w:hAnsi="Times New Roman;Times;Serif"/>
          <w:b w:val="false"/>
          <w:i w:val="false"/>
          <w:caps w:val="false"/>
          <w:smallCaps w:val="false"/>
          <w:sz w:val="20"/>
        </w:rPr>
        <w:t xml:space="preserve">2.14 Nasdaq Minimum Price), annualized volatility of </w:t>
      </w:r>
      <w:bookmarkStart w:id="372" w:name="xdx_901_eus-gaap--DerivativeAssetLiabili"/>
      <w:bookmarkEnd w:id="372"/>
      <w:r>
        <w:rPr>
          <w:rFonts w:ascii="Times New Roman;Times;Serif" w:hAnsi="Times New Roman;Times;Serif"/>
          <w:b w:val="false"/>
          <w:i w:val="false"/>
          <w:caps w:val="false"/>
          <w:smallCaps w:val="false"/>
          <w:sz w:val="20"/>
        </w:rPr>
        <w:t xml:space="preserve">42.60%, a risk-free rate of </w:t>
      </w:r>
      <w:bookmarkStart w:id="373" w:name="xdx_904_eus-gaap--DerivativeAssetLiabili"/>
      <w:bookmarkEnd w:id="373"/>
      <w:r>
        <w:rPr>
          <w:rFonts w:ascii="Times New Roman;Times;Serif" w:hAnsi="Times New Roman;Times;Serif"/>
          <w:b w:val="false"/>
          <w:i w:val="false"/>
          <w:caps w:val="false"/>
          <w:smallCaps w:val="false"/>
          <w:sz w:val="20"/>
        </w:rPr>
        <w:t xml:space="preserve">4.5%, and normalized average daily trading volume of </w:t>
      </w:r>
      <w:bookmarkStart w:id="374" w:name="xdx_905_eus-gaap--SharesIssued_iI_pid_c2"/>
      <w:bookmarkEnd w:id="374"/>
      <w:r>
        <w:rPr>
          <w:rFonts w:ascii="Times New Roman;Times;Serif" w:hAnsi="Times New Roman;Times;Serif"/>
          <w:b w:val="false"/>
          <w:i w:val="false"/>
          <w:caps w:val="false"/>
          <w:smallCaps w:val="false"/>
          <w:sz w:val="20"/>
        </w:rPr>
        <w:t>46,166 shares. At the June 3, 2026 closing date, the corresponding inputs included a common stock price of $</w:t>
      </w:r>
      <w:bookmarkStart w:id="375" w:name="xdx_90A_eus-gaap--SharePrice_iI_c2026060"/>
      <w:bookmarkEnd w:id="375"/>
      <w:r>
        <w:rPr>
          <w:rFonts w:ascii="Times New Roman;Times;Serif" w:hAnsi="Times New Roman;Times;Serif"/>
          <w:b w:val="false"/>
          <w:i w:val="false"/>
          <w:caps w:val="false"/>
          <w:smallCaps w:val="false"/>
          <w:sz w:val="20"/>
        </w:rPr>
        <w:t xml:space="preserve">2.10, annualized volatility of </w:t>
      </w:r>
      <w:bookmarkStart w:id="376" w:name="xdx_907_eus-gaap--DerivativeAssetLiabili"/>
      <w:bookmarkEnd w:id="376"/>
      <w:r>
        <w:rPr>
          <w:rFonts w:ascii="Times New Roman;Times;Serif" w:hAnsi="Times New Roman;Times;Serif"/>
          <w:b w:val="false"/>
          <w:i w:val="false"/>
          <w:caps w:val="false"/>
          <w:smallCaps w:val="false"/>
          <w:sz w:val="20"/>
        </w:rPr>
        <w:t xml:space="preserve">22.84%, and normalized average daily trading volume of </w:t>
      </w:r>
      <w:bookmarkStart w:id="377" w:name="xdx_909_eus-gaap--SharesIssued_iI_pid_c2"/>
      <w:bookmarkEnd w:id="377"/>
      <w:r>
        <w:rPr>
          <w:rFonts w:ascii="Times New Roman;Times;Serif" w:hAnsi="Times New Roman;Times;Serif"/>
          <w:b w:val="false"/>
          <w:i w:val="false"/>
          <w:caps w:val="false"/>
          <w:smallCaps w:val="false"/>
          <w:sz w:val="20"/>
        </w:rPr>
        <w:t>41,177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8" w:name="xdx_800_eus-gaap--StockholdersEquityNote"/>
      <w:bookmarkEnd w:id="378"/>
      <w:r>
        <w:rPr>
          <w:rFonts w:ascii="Times New Roman;Times;Serif" w:hAnsi="Times New Roman;Times;Serif"/>
          <w:b/>
          <w:i w:val="false"/>
          <w:caps w:val="false"/>
          <w:smallCaps w:val="false"/>
          <w:sz w:val="20"/>
        </w:rPr>
        <w:t xml:space="preserve">Note 8. </w:t>
      </w:r>
      <w:bookmarkStart w:id="379" w:name="xdx_822_zs6txtoeVoM"/>
      <w:bookmarkEnd w:id="379"/>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2024, the Company filed with the U.S. Securities and Exchange Commission (“SEC”) a shelf registration statement on Form S-3 (the “2024 Registration Statement”) for the offer and sale of up to $</w:t>
      </w:r>
      <w:bookmarkStart w:id="380" w:name="xdx_905_eus-gaap--SaleOfStockConsiderati"/>
      <w:bookmarkEnd w:id="380"/>
      <w:r>
        <w:rPr>
          <w:rFonts w:ascii="Times New Roman;Times;Serif" w:hAnsi="Times New Roman;Times;Serif"/>
          <w:b w:val="false"/>
          <w:i w:val="false"/>
          <w:caps w:val="false"/>
          <w:smallCaps w:val="false"/>
          <w:sz w:val="20"/>
        </w:rPr>
        <w:t>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outstanding Common Stock held by non-affiliates was approximately $</w:t>
      </w:r>
      <w:bookmarkStart w:id="381" w:name="xdx_905_eus-gaap--InvestmentOwnedAtCost_"/>
      <w:bookmarkEnd w:id="381"/>
      <w:r>
        <w:rPr>
          <w:rFonts w:ascii="Times New Roman;Times;Serif" w:hAnsi="Times New Roman;Times;Serif"/>
          <w:b w:val="false"/>
          <w:i w:val="false"/>
          <w:caps w:val="false"/>
          <w:smallCaps w:val="false"/>
          <w:sz w:val="20"/>
        </w:rPr>
        <w:t xml:space="preserve">79,075,969, based on </w:t>
      </w:r>
      <w:bookmarkStart w:id="382" w:name="xdx_906_eus-gaap--InvestmentOwnedBalance"/>
      <w:bookmarkEnd w:id="382"/>
      <w:r>
        <w:rPr>
          <w:rFonts w:ascii="Times New Roman;Times;Serif" w:hAnsi="Times New Roman;Times;Serif"/>
          <w:b w:val="false"/>
          <w:i w:val="false"/>
          <w:caps w:val="false"/>
          <w:smallCaps w:val="false"/>
          <w:sz w:val="20"/>
        </w:rPr>
        <w:t xml:space="preserve">2,121,895 shares of Common Stock outstanding as of July 22, 2025, of which </w:t>
      </w:r>
      <w:bookmarkStart w:id="383" w:name="xdx_907_eus-gaap--InvestmentOwnedBalance"/>
      <w:bookmarkEnd w:id="383"/>
      <w:r>
        <w:rPr>
          <w:rFonts w:ascii="Times New Roman;Times;Serif" w:hAnsi="Times New Roman;Times;Serif"/>
          <w:b w:val="false"/>
          <w:i w:val="false"/>
          <w:caps w:val="false"/>
          <w:smallCaps w:val="false"/>
          <w:sz w:val="20"/>
        </w:rPr>
        <w:t>2,100,291 shares were held by non-affiliates, and a price of $</w:t>
      </w:r>
      <w:bookmarkStart w:id="384" w:name="xdx_900_eus-gaap--SharePrice_iI_c2025060"/>
      <w:bookmarkEnd w:id="384"/>
      <w:r>
        <w:rPr>
          <w:rFonts w:ascii="Times New Roman;Times;Serif" w:hAnsi="Times New Roman;Times;Serif"/>
          <w:b w:val="false"/>
          <w:i w:val="false"/>
          <w:caps w:val="false"/>
          <w:smallCaps w:val="false"/>
          <w:sz w:val="20"/>
        </w:rPr>
        <w:t>37.65 per share, which was the last reported sale price of Common Stock on The Nasdaq Stock Market LLC (“Nasdaq”) on June 2, 2025. As a result, the Company’s public float increased above $</w:t>
      </w:r>
      <w:bookmarkStart w:id="385" w:name="xdx_90E_ecustom--PublicFloatValue_iI_pn6"/>
      <w:bookmarkEnd w:id="385"/>
      <w:r>
        <w:rPr>
          <w:rFonts w:ascii="Times New Roman;Times;Serif" w:hAnsi="Times New Roman;Times;Serif"/>
          <w:b w:val="false"/>
          <w:i w:val="false"/>
          <w:caps w:val="false"/>
          <w:smallCaps w:val="false"/>
          <w:sz w:val="20"/>
        </w:rPr>
        <w:t>75.0 million, and the Company was no longer subject to the limitations contained in General Instruction I.B.6 of Form S-3. . On March 23, 2026, the Company filed a prospectus supplement to register an additional $</w:t>
      </w:r>
      <w:bookmarkStart w:id="386" w:name="xdx_90E_eus-gaap--StockIssuedDuringPerio"/>
      <w:bookmarkEnd w:id="386"/>
      <w:r>
        <w:rPr>
          <w:rFonts w:ascii="Times New Roman;Times;Serif" w:hAnsi="Times New Roman;Times;Serif"/>
          <w:b w:val="false"/>
          <w:i w:val="false"/>
          <w:caps w:val="false"/>
          <w:smallCaps w:val="false"/>
          <w:sz w:val="20"/>
        </w:rPr>
        <w:t>7,000,000 of shares of the Company’s common stock issuable pursuant to the At the Market Offering Agreement, dated as of May 25, 2022, as amended by Amendment No. 1 to At the Market Offering Agreement, dated as of May 15, 2024 (as amended, the “Sales Agreement”), by and between the Company and H.C. Wainwright &amp; Co., LLC. The Company previously registered the offer and sale of up to $</w:t>
      </w:r>
      <w:bookmarkStart w:id="387" w:name="xdx_900_eus-gaap--SaleOfStockConsiderati"/>
      <w:bookmarkEnd w:id="387"/>
      <w:r>
        <w:rPr>
          <w:rFonts w:ascii="Times New Roman;Times;Serif" w:hAnsi="Times New Roman;Times;Serif"/>
          <w:b w:val="false"/>
          <w:i w:val="false"/>
          <w:caps w:val="false"/>
          <w:smallCaps w:val="false"/>
          <w:sz w:val="20"/>
        </w:rPr>
        <w:t>10,000,000 of shares of Common Stock through the Sales Agent under the Sales Agreement. Upon the filing of Form 10-K for 2025 on March 31, 2026, the Company’s public float was less than $</w:t>
      </w:r>
      <w:bookmarkStart w:id="388" w:name="xdx_90A_ecustom--PublicFloatValue_pn6n6_"/>
      <w:bookmarkEnd w:id="388"/>
      <w:r>
        <w:rPr>
          <w:rFonts w:ascii="Times New Roman;Times;Serif" w:hAnsi="Times New Roman;Times;Serif"/>
          <w:b w:val="false"/>
          <w:i w:val="false"/>
          <w:caps w:val="false"/>
          <w:smallCaps w:val="false"/>
          <w:sz w:val="20"/>
        </w:rPr>
        <w:t>75 million and as a result, the Company is subject to the limitations contained in General Instruction I.B.6 of Form S-3.</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25, 2025, the Company effected a </w:t>
      </w:r>
      <w:bookmarkStart w:id="389" w:name="xdx_902_eus-gaap--StockholdersEquityReve"/>
      <w:bookmarkEnd w:id="389"/>
      <w:r>
        <w:rPr>
          <w:rFonts w:ascii="Times New Roman;Times;Serif" w:hAnsi="Times New Roman;Times;Serif"/>
          <w:b w:val="false"/>
          <w:i w:val="false"/>
          <w:caps w:val="false"/>
          <w:smallCaps w:val="false"/>
          <w:sz w:val="20"/>
        </w:rPr>
        <w:t xml:space="preserve">15-for-1 reverse stock split of its common stock which was made effective for trading purposes as of 12:01 a.m. ET on July 25, 2025. As of that date, </w:t>
      </w:r>
      <w:bookmarkStart w:id="390" w:name="xdx_902_eus-gaap--ConversionOfStockDescr"/>
      <w:bookmarkEnd w:id="390"/>
      <w:r>
        <w:rPr>
          <w:rFonts w:ascii="Times New Roman;Times;Serif" w:hAnsi="Times New Roman;Times;Serif"/>
          <w:b w:val="false"/>
          <w:i w:val="false"/>
          <w:caps w:val="false"/>
          <w:smallCaps w:val="false"/>
          <w:sz w:val="20"/>
        </w:rPr>
        <w:t xml:space="preserve">each 15 shares of issued and outstanding common stock and equivalents were consolidated into one share of common stock. All shares have been restated to reflect the effects of the </w:t>
      </w:r>
      <w:bookmarkStart w:id="391" w:name="xdx_907_eus-gaap--StockholdersEquityReve"/>
      <w:bookmarkEnd w:id="391"/>
      <w:r>
        <w:rPr>
          <w:rFonts w:ascii="Times New Roman;Times;Serif" w:hAnsi="Times New Roman;Times;Serif"/>
          <w:b w:val="false"/>
          <w:i w:val="false"/>
          <w:caps w:val="false"/>
          <w:smallCaps w:val="false"/>
          <w:sz w:val="20"/>
        </w:rPr>
        <w:t>15-for-1 reverse stock split. In addition, at the market open on July 25, 2025, the Company’s common stock started trading under a new CUSIP number 15117N701 although the Company’s ticker symbol, IMNN, remained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was previously approved by the Company’s stockholders at the 2025 Annual Meeting held on July 11, 2025, and the Company subsequently filed a Certificate of Amendment to its Certificate of Incorporation to affect the stock consolidation. The primary reasons for the reverse stock split and the amendment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the Company with the ability to support its anticipated future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listing on The NASDAQ Capital Market, which requires that the Company comply with the applicable listing requirements under NASDAQ Marketplace Rules, which requirements include, among others, a minimum bid price of at least $</w:t>
            </w:r>
            <w:bookmarkStart w:id="392" w:name="xdx_906_eus-gaap--SharePrice_iI_c2025072"/>
            <w:bookmarkEnd w:id="392"/>
            <w:r>
              <w:rPr>
                <w:rFonts w:ascii="Times New Roman;Times;Serif" w:hAnsi="Times New Roman;Times;Serif"/>
                <w:b w:val="false"/>
                <w:i w:val="false"/>
                <w:caps w:val="false"/>
                <w:smallCaps w:val="false"/>
                <w:sz w:val="20"/>
              </w:rPr>
              <w:t>1.00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reverse stock split, the Company had </w:t>
      </w:r>
      <w:bookmarkStart w:id="393" w:name="xdx_90B_eus-gaap--CommonStockSharesOutst"/>
      <w:bookmarkEnd w:id="393"/>
      <w:r>
        <w:rPr>
          <w:rFonts w:ascii="Times New Roman;Times;Serif" w:hAnsi="Times New Roman;Times;Serif"/>
          <w:b w:val="false"/>
          <w:i w:val="false"/>
          <w:caps w:val="false"/>
          <w:smallCaps w:val="false"/>
          <w:sz w:val="20"/>
        </w:rPr>
        <w:t xml:space="preserve">31,828,447 shares of common stock outstanding which consolidated into </w:t>
      </w:r>
      <w:bookmarkStart w:id="394" w:name="xdx_901_eus-gaap--CommonStockSharesOutst"/>
      <w:bookmarkEnd w:id="394"/>
      <w:r>
        <w:rPr>
          <w:rFonts w:ascii="Times New Roman;Times;Serif" w:hAnsi="Times New Roman;Times;Serif"/>
          <w:b w:val="false"/>
          <w:i w:val="false"/>
          <w:caps w:val="false"/>
          <w:smallCaps w:val="false"/>
          <w:sz w:val="20"/>
        </w:rPr>
        <w:t xml:space="preserve">2,121,942 shares of the Company’s common stock. No fractional shares were issued in connection with the reverse stock split. All fractional shares were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w:t>
      </w:r>
      <w:bookmarkStart w:id="395" w:name="xdx_90A_eus-gaap--SharebasedCompensation"/>
      <w:bookmarkEnd w:id="395"/>
      <w:r>
        <w:rPr>
          <w:rFonts w:ascii="Times New Roman;Times;Serif" w:hAnsi="Times New Roman;Times;Serif"/>
          <w:b w:val="false"/>
          <w:i w:val="false"/>
          <w:caps w:val="false"/>
          <w:smallCaps w:val="false"/>
          <w:sz w:val="20"/>
        </w:rPr>
        <w:t xml:space="preserve">1.9 million to approximately </w:t>
      </w:r>
      <w:bookmarkStart w:id="396" w:name="xdx_903_eus-gaap--SharebasedCompensation"/>
      <w:bookmarkEnd w:id="396"/>
      <w:r>
        <w:rPr>
          <w:rFonts w:ascii="Times New Roman;Times;Serif" w:hAnsi="Times New Roman;Times;Serif"/>
          <w:b w:val="false"/>
          <w:i w:val="false"/>
          <w:caps w:val="false"/>
          <w:smallCaps w:val="false"/>
          <w:sz w:val="20"/>
        </w:rPr>
        <w:t xml:space="preserve">0.1 million and outstanding warrants being reduced from approximately </w:t>
      </w:r>
      <w:bookmarkStart w:id="397" w:name="xdx_909_eus-gaap--ClassOfWarrantOrRightO"/>
      <w:bookmarkEnd w:id="397"/>
      <w:r>
        <w:rPr>
          <w:rFonts w:ascii="Times New Roman;Times;Serif" w:hAnsi="Times New Roman;Times;Serif"/>
          <w:b w:val="false"/>
          <w:i w:val="false"/>
          <w:caps w:val="false"/>
          <w:smallCaps w:val="false"/>
          <w:sz w:val="20"/>
        </w:rPr>
        <w:t xml:space="preserve">12.7 million to approximately </w:t>
      </w:r>
      <w:bookmarkStart w:id="398" w:name="xdx_904_eus-gaap--ClassOfWarrantOrRightO"/>
      <w:bookmarkEnd w:id="398"/>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to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2025 Annual Meeting of Stockholders (the “Annual Meeting”) of the Company held on July 11, 2025, upon the recommendation of the Company’s board of directors, the Company’s stockholders voted on and approved an amendment to the Company’s Restated Certificate of Incorporation to increase the number of authorized shares of common stock from </w:t>
      </w:r>
      <w:bookmarkStart w:id="399" w:name="xdx_903_eus-gaap--CommonStockSharesAutho"/>
      <w:bookmarkEnd w:id="399"/>
      <w:r>
        <w:rPr>
          <w:rFonts w:ascii="Times New Roman;Times;Serif" w:hAnsi="Times New Roman;Times;Serif"/>
          <w:b w:val="false"/>
          <w:i w:val="false"/>
          <w:caps w:val="false"/>
          <w:smallCaps w:val="false"/>
          <w:sz w:val="20"/>
        </w:rPr>
        <w:t xml:space="preserve">112,500,000 shares to </w:t>
      </w:r>
      <w:bookmarkStart w:id="400" w:name="xdx_905_eus-gaap--CommonStockSharesAutho"/>
      <w:bookmarkEnd w:id="400"/>
      <w:r>
        <w:rPr>
          <w:rFonts w:ascii="Times New Roman;Times;Serif" w:hAnsi="Times New Roman;Times;Serif"/>
          <w:b w:val="false"/>
          <w:i w:val="false"/>
          <w:caps w:val="false"/>
          <w:smallCaps w:val="false"/>
          <w:sz w:val="20"/>
        </w:rPr>
        <w:t>350,000,000 shares, and to make a corresponding change to the number of authorized shares of capital stock. Such amendment became effective on July 11, 2025 upon filing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28, 2025, the Company announced that the Company’s Board of Directors approved a </w:t>
      </w:r>
      <w:bookmarkStart w:id="401" w:name="xdx_903_ecustom--StockDividendRatePercen"/>
      <w:bookmarkEnd w:id="401"/>
      <w:r>
        <w:rPr>
          <w:rFonts w:ascii="Times New Roman;Times;Serif" w:hAnsi="Times New Roman;Times;Serif"/>
          <w:b w:val="false"/>
          <w:i w:val="false"/>
          <w:caps w:val="false"/>
          <w:smallCaps w:val="false"/>
          <w:sz w:val="20"/>
        </w:rPr>
        <w:t xml:space="preserve">15% stock dividend, </w:t>
      </w:r>
      <w:bookmarkStart w:id="402" w:name="xdx_904_eus-gaap--CommonStockDividendsPe"/>
      <w:bookmarkEnd w:id="402"/>
      <w:r>
        <w:rPr>
          <w:rFonts w:ascii="Times New Roman;Times;Serif" w:hAnsi="Times New Roman;Times;Serif"/>
          <w:b w:val="false"/>
          <w:i w:val="false"/>
          <w:caps w:val="false"/>
          <w:smallCaps w:val="false"/>
          <w:sz w:val="20"/>
        </w:rPr>
        <w:t>0.15 shares of common stock (the “Stock Dividend”) per share of the Company’s issued and outstanding shares of common stock and per each common stock equivalent with 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fixed August 7, 2025 as the record date (the “Record Date”) for the Stock Dividend, and the Stock Dividend was issued on August 21, 2025 to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outstanding warrants were adjusted accordingly, with outstanding warrants increasing from approximately </w:t>
      </w:r>
      <w:bookmarkStart w:id="403" w:name="xdx_904_eus-gaap--ClassOfWarrantOrRightO"/>
      <w:bookmarkEnd w:id="403"/>
      <w:r>
        <w:rPr>
          <w:rFonts w:ascii="Times New Roman;Times;Serif" w:hAnsi="Times New Roman;Times;Serif"/>
          <w:b w:val="false"/>
          <w:i w:val="false"/>
          <w:caps w:val="false"/>
          <w:smallCaps w:val="false"/>
          <w:sz w:val="20"/>
        </w:rPr>
        <w:t xml:space="preserve">0.8 million to approximately </w:t>
      </w:r>
      <w:bookmarkStart w:id="404" w:name="xdx_90F_eus-gaap--ClassOfWarrantOrRightO"/>
      <w:bookmarkEnd w:id="404"/>
      <w:r>
        <w:rPr>
          <w:rFonts w:ascii="Times New Roman;Times;Serif" w:hAnsi="Times New Roman;Times;Serif"/>
          <w:b w:val="false"/>
          <w:i w:val="false"/>
          <w:caps w:val="false"/>
          <w:smallCaps w:val="false"/>
          <w:sz w:val="20"/>
        </w:rPr>
        <w:t>1.0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2024, the Company amended the At the Market Offering Agreement, dated as of May 25, 2022 (the “ATM Agreement”) with H.C. Wainwright &amp; Co., LLC (“Wainwright”) as sales agent. Pursuant to the terms of the amended ATM Agreement, the Company may offer and sell, from time to time, through Wainwright, shares of the Company’s common stock having an aggregate offering price of up to $</w:t>
      </w:r>
      <w:bookmarkStart w:id="405" w:name="xdx_905_eus-gaap--StockIssuedDuringPerio"/>
      <w:bookmarkEnd w:id="405"/>
      <w:r>
        <w:rPr>
          <w:rFonts w:ascii="Times New Roman;Times;Serif" w:hAnsi="Times New Roman;Times;Serif"/>
          <w:b w:val="false"/>
          <w:i w:val="false"/>
          <w:caps w:val="false"/>
          <w:smallCaps w:val="false"/>
          <w:sz w:val="20"/>
        </w:rPr>
        <w:t>5,500,000. The Company intends to use the net proceeds from any offering under the amended ATM Agreement for general corporate purposes, including research and development activities, capital expenditures and working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2024, the Company filed a new prospectus supplement to the 2024 Registration Statement with the SEC for an aggregate offering price of up to $</w:t>
            </w:r>
            <w:bookmarkStart w:id="406" w:name="xdx_909_eus-gaap--ProceedsFromIssuanceOf"/>
            <w:bookmarkEnd w:id="406"/>
            <w:r>
              <w:rPr>
                <w:rFonts w:ascii="Times New Roman;Times;Serif" w:hAnsi="Times New Roman;Times;Serif"/>
                <w:b w:val="false"/>
                <w:i w:val="false"/>
                <w:caps w:val="false"/>
                <w:smallCaps w:val="false"/>
                <w:sz w:val="20"/>
              </w:rPr>
              <w:t>5,500,000 related to the potential issuance from time to time of the Company’s common stock pursuant to the ATM Agreement with Wainwright as sales agent.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filed a Prospectus Supplement to register an additional $</w:t>
            </w:r>
            <w:bookmarkStart w:id="407" w:name="xdx_90E_eus-gaap--StockIssuedDuringPerio"/>
            <w:bookmarkEnd w:id="407"/>
            <w:r>
              <w:rPr>
                <w:rFonts w:ascii="Times New Roman;Times;Serif" w:hAnsi="Times New Roman;Times;Serif"/>
                <w:b w:val="false"/>
                <w:i w:val="false"/>
                <w:caps w:val="false"/>
                <w:smallCaps w:val="false"/>
                <w:sz w:val="20"/>
              </w:rPr>
              <w:t>4,500,000 of shares of the Company’s common stock, par value $</w:t>
            </w:r>
            <w:bookmarkStart w:id="408" w:name="xdx_905_eus-gaap--SharePrice_iI_pid_c202"/>
            <w:bookmarkEnd w:id="408"/>
            <w:r>
              <w:rPr>
                <w:rFonts w:ascii="Times New Roman;Times;Serif" w:hAnsi="Times New Roman;Times;Serif"/>
                <w:b w:val="false"/>
                <w:i w:val="false"/>
                <w:caps w:val="false"/>
                <w:smallCaps w:val="false"/>
                <w:sz w:val="20"/>
              </w:rPr>
              <w:t>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w:t>
            </w:r>
            <w:bookmarkStart w:id="409" w:name="xdx_902_eus-gaap--ProceedsFromIssuanceOf"/>
            <w:bookmarkEnd w:id="409"/>
            <w:r>
              <w:rPr>
                <w:rFonts w:ascii="Times New Roman;Times;Serif" w:hAnsi="Times New Roman;Times;Serif"/>
                <w:b w:val="false"/>
                <w:i w:val="false"/>
                <w:caps w:val="false"/>
                <w:smallCaps w:val="false"/>
                <w:sz w:val="20"/>
              </w:rPr>
              <w:t>5,500,000 of shares of Common Stock through the Sales Agent under the Sales Agreement. Prior to the date hereof, the Company has sold an aggregate of $</w:t>
            </w:r>
            <w:bookmarkStart w:id="410" w:name="xdx_90D_eus-gaap--ProceedsFromIssuanceOf"/>
            <w:bookmarkEnd w:id="410"/>
            <w:r>
              <w:rPr>
                <w:rFonts w:ascii="Times New Roman;Times;Serif" w:hAnsi="Times New Roman;Times;Serif"/>
                <w:b w:val="false"/>
                <w:i w:val="false"/>
                <w:caps w:val="false"/>
                <w:smallCaps w:val="false"/>
                <w:sz w:val="20"/>
              </w:rPr>
              <w:t>1,815,267 shares of common stock through the Sales Agent under the Sales Agreement. Accordingly, the Prospectus Supplement covers an aggregate of $</w:t>
            </w:r>
            <w:bookmarkStart w:id="411" w:name="xdx_90E_ecustom--AggregateShares_c202507"/>
            <w:bookmarkEnd w:id="411"/>
            <w:r>
              <w:rPr>
                <w:rFonts w:ascii="Times New Roman;Times;Serif" w:hAnsi="Times New Roman;Times;Serif"/>
                <w:b w:val="false"/>
                <w:i w:val="false"/>
                <w:caps w:val="false"/>
                <w:smallCaps w:val="false"/>
                <w:sz w:val="20"/>
              </w:rPr>
              <w:t>8,184,733 of shares, consisting of $</w:t>
            </w:r>
            <w:bookmarkStart w:id="412" w:name="xdx_907_ecustom--RemainingShareAmount_c2"/>
            <w:bookmarkEnd w:id="412"/>
            <w:r>
              <w:rPr>
                <w:rFonts w:ascii="Times New Roman;Times;Serif" w:hAnsi="Times New Roman;Times;Serif"/>
                <w:b w:val="false"/>
                <w:i w:val="false"/>
                <w:caps w:val="false"/>
                <w:smallCaps w:val="false"/>
                <w:sz w:val="20"/>
              </w:rPr>
              <w:t>3,684,733 remaining of the amount originally registered and the additional $</w:t>
            </w:r>
            <w:bookmarkStart w:id="413" w:name="xdx_904_ecustom--AdditionalProspectusSup"/>
            <w:bookmarkEnd w:id="413"/>
            <w:r>
              <w:rPr>
                <w:rFonts w:ascii="Times New Roman;Times;Serif" w:hAnsi="Times New Roman;Times;Serif"/>
                <w:b w:val="false"/>
                <w:i w:val="false"/>
                <w:caps w:val="false"/>
                <w:smallCaps w:val="false"/>
                <w:sz w:val="20"/>
              </w:rPr>
              <w:t>4,500,000 increase under the Prospectus Supplement.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filed a prospectus supplement (the “Prospectus Supplement”) to register an additional $</w:t>
            </w:r>
            <w:bookmarkStart w:id="414" w:name="xdx_909_eus-gaap--SaleOfStockConsiderati"/>
            <w:bookmarkEnd w:id="414"/>
            <w:r>
              <w:rPr>
                <w:rFonts w:ascii="Times New Roman;Times;Serif" w:hAnsi="Times New Roman;Times;Serif"/>
                <w:b w:val="false"/>
                <w:i w:val="false"/>
                <w:caps w:val="false"/>
                <w:smallCaps w:val="false"/>
                <w:sz w:val="20"/>
              </w:rPr>
              <w:t>7,000,000 of shares of the Company’s common stock, par value $</w:t>
            </w:r>
            <w:bookmarkStart w:id="415" w:name="xdx_909_eus-gaap--SharePrice_iI_pid_c202"/>
            <w:bookmarkEnd w:id="415"/>
            <w:r>
              <w:rPr>
                <w:rFonts w:ascii="Times New Roman;Times;Serif" w:hAnsi="Times New Roman;Times;Serif"/>
                <w:b w:val="false"/>
                <w:i w:val="false"/>
                <w:caps w:val="false"/>
                <w:smallCaps w:val="false"/>
                <w:sz w:val="20"/>
              </w:rPr>
              <w:t>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w:t>
            </w:r>
            <w:bookmarkStart w:id="416" w:name="xdx_90B_eus-gaap--ProceedsFromIssuanceOf"/>
            <w:bookmarkEnd w:id="416"/>
            <w:r>
              <w:rPr>
                <w:rFonts w:ascii="Times New Roman;Times;Serif" w:hAnsi="Times New Roman;Times;Serif"/>
                <w:b w:val="false"/>
                <w:i w:val="false"/>
                <w:caps w:val="false"/>
                <w:smallCaps w:val="false"/>
                <w:sz w:val="20"/>
              </w:rPr>
              <w:t>10,000,000 of shares of Common Stock through the Sales Agent under the Sales Agreement. Prior to the date hereof, the Company has sold an aggregate of $</w:t>
            </w:r>
            <w:bookmarkStart w:id="417" w:name="xdx_90F_eus-gaap--ProceedsFromIssuanceOf"/>
            <w:bookmarkEnd w:id="417"/>
            <w:r>
              <w:rPr>
                <w:rFonts w:ascii="Times New Roman;Times;Serif" w:hAnsi="Times New Roman;Times;Serif"/>
                <w:b w:val="false"/>
                <w:i w:val="false"/>
                <w:caps w:val="false"/>
                <w:smallCaps w:val="false"/>
                <w:sz w:val="20"/>
              </w:rPr>
              <w:t>4,797,848 shares of common stock through the Sales Agent under the Sales Agreement. Accordingly, the Prospectus Supplement covers an aggregate of $</w:t>
            </w:r>
            <w:bookmarkStart w:id="418" w:name="xdx_90A_ecustom--AggregateShares_c202603"/>
            <w:bookmarkEnd w:id="418"/>
            <w:r>
              <w:rPr>
                <w:rFonts w:ascii="Times New Roman;Times;Serif" w:hAnsi="Times New Roman;Times;Serif"/>
                <w:b w:val="false"/>
                <w:i w:val="false"/>
                <w:caps w:val="false"/>
                <w:smallCaps w:val="false"/>
                <w:sz w:val="20"/>
              </w:rPr>
              <w:t>12,202,152 of shares, consisting of $</w:t>
            </w:r>
            <w:bookmarkStart w:id="419" w:name="xdx_902_ecustom--RemainingShareAmount_pp"/>
            <w:bookmarkEnd w:id="419"/>
            <w:r>
              <w:rPr>
                <w:rFonts w:ascii="Times New Roman;Times;Serif" w:hAnsi="Times New Roman;Times;Serif"/>
                <w:b w:val="false"/>
                <w:i w:val="false"/>
                <w:caps w:val="false"/>
                <w:smallCaps w:val="false"/>
                <w:sz w:val="20"/>
              </w:rPr>
              <w:t>5,202,152 remaining of the amount originally registered and the additional $</w:t>
            </w:r>
            <w:bookmarkStart w:id="420" w:name="xdx_90B_ecustom--AdditionalProspectusSup"/>
            <w:bookmarkEnd w:id="420"/>
            <w:r>
              <w:rPr>
                <w:rFonts w:ascii="Times New Roman;Times;Serif" w:hAnsi="Times New Roman;Times;Serif"/>
                <w:b w:val="false"/>
                <w:i w:val="false"/>
                <w:caps w:val="false"/>
                <w:smallCaps w:val="false"/>
                <w:sz w:val="20"/>
              </w:rPr>
              <w:t>7,000,000 increase under the Prospectus Supplement.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six months of 2026, the Company sold </w:t>
      </w:r>
      <w:bookmarkStart w:id="421" w:name="xdx_900_eus-gaap--SaleOfStockNumberOfSha"/>
      <w:bookmarkEnd w:id="421"/>
      <w:r>
        <w:rPr>
          <w:rFonts w:ascii="Times New Roman;Times;Serif" w:hAnsi="Times New Roman;Times;Serif"/>
          <w:b w:val="false"/>
          <w:i w:val="false"/>
          <w:caps w:val="false"/>
          <w:smallCaps w:val="false"/>
          <w:sz w:val="20"/>
        </w:rPr>
        <w:t>356,976 shares of common stock under the ATM Agreement for net proceeds of $</w:t>
      </w:r>
      <w:bookmarkStart w:id="422" w:name="xdx_90D_eus-gaap--ProceedsFromIssuanceOf"/>
      <w:bookmarkEnd w:id="422"/>
      <w:r>
        <w:rPr>
          <w:rFonts w:ascii="Times New Roman;Times;Serif" w:hAnsi="Times New Roman;Times;Serif"/>
          <w:b w:val="false"/>
          <w:i w:val="false"/>
          <w:caps w:val="false"/>
          <w:smallCaps w:val="false"/>
          <w:sz w:val="20"/>
        </w:rPr>
        <w:t xml:space="preserve">842,702. During 2025, the Company sold </w:t>
      </w:r>
      <w:bookmarkStart w:id="423" w:name="xdx_900_eus-gaap--SaleOfStockNumberOfSha"/>
      <w:bookmarkEnd w:id="423"/>
      <w:r>
        <w:rPr>
          <w:rFonts w:ascii="Times New Roman;Times;Serif" w:hAnsi="Times New Roman;Times;Serif"/>
          <w:b w:val="false"/>
          <w:i w:val="false"/>
          <w:caps w:val="false"/>
          <w:smallCaps w:val="false"/>
          <w:sz w:val="20"/>
        </w:rPr>
        <w:t>744,646 shares of common stock under the ATM Agreement for net proceeds of $</w:t>
      </w:r>
      <w:bookmarkStart w:id="424" w:name="xdx_909_eus-gaap--ProceedsFromIssuanceOf"/>
      <w:bookmarkEnd w:id="424"/>
      <w:r>
        <w:rPr>
          <w:rFonts w:ascii="Times New Roman;Times;Serif" w:hAnsi="Times New Roman;Times;Serif"/>
          <w:b w:val="false"/>
          <w:i w:val="false"/>
          <w:caps w:val="false"/>
          <w:smallCaps w:val="false"/>
          <w:sz w:val="20"/>
        </w:rPr>
        <w:t xml:space="preserve">4,530,663. Subsequent to June 30, 2026, and through the date of this report on Form 10Q, the Company sold </w:t>
      </w:r>
      <w:bookmarkStart w:id="425" w:name="xdx_904_eus-gaap--SaleOfStockNumberOfSha"/>
      <w:bookmarkEnd w:id="425"/>
      <w:r>
        <w:rPr>
          <w:rFonts w:ascii="Times New Roman;Times;Serif" w:hAnsi="Times New Roman;Times;Serif"/>
          <w:b w:val="false"/>
          <w:i w:val="false"/>
          <w:caps w:val="false"/>
          <w:smallCaps w:val="false"/>
          <w:sz w:val="20"/>
        </w:rPr>
        <w:t>162,804 shares of common stock under the ATM Agreement for net proceeds of $</w:t>
      </w:r>
      <w:bookmarkStart w:id="426" w:name="xdx_90A_eus-gaap--ProceedsFromIssuanceOf"/>
      <w:bookmarkEnd w:id="426"/>
      <w:r>
        <w:rPr>
          <w:rFonts w:ascii="Times New Roman;Times;Serif" w:hAnsi="Times New Roman;Times;Serif"/>
          <w:b w:val="false"/>
          <w:i w:val="false"/>
          <w:caps w:val="false"/>
          <w:smallCaps w:val="false"/>
          <w:sz w:val="20"/>
        </w:rPr>
        <w:t>298,494.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2025 Warrant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entered into an exchange agreement (the “Agreement”) with the holders (the “Warrant Holders”) of certain warrants of the Company issued on August 1, 2024, which are exercisable for an aggregate of </w:t>
      </w:r>
      <w:bookmarkStart w:id="427" w:name="xdx_909_eus-gaap--ClassOfWarrantOrRightO"/>
      <w:bookmarkEnd w:id="427"/>
      <w:r>
        <w:rPr>
          <w:rFonts w:ascii="Times New Roman;Times;Serif" w:hAnsi="Times New Roman;Times;Serif"/>
          <w:b w:val="false"/>
          <w:i w:val="false"/>
          <w:caps w:val="false"/>
          <w:smallCaps w:val="false"/>
          <w:sz w:val="20"/>
        </w:rPr>
        <w:t>333,334 shares of the Company’s common stock, par value $</w:t>
      </w:r>
      <w:bookmarkStart w:id="428" w:name="xdx_904_eus-gaap--CommonStockParOrStated"/>
      <w:bookmarkEnd w:id="428"/>
      <w:r>
        <w:rPr>
          <w:rFonts w:ascii="Times New Roman;Times;Serif" w:hAnsi="Times New Roman;Times;Serif"/>
          <w:b w:val="false"/>
          <w:i w:val="false"/>
          <w:caps w:val="false"/>
          <w:smallCaps w:val="false"/>
          <w:sz w:val="20"/>
        </w:rPr>
        <w:t xml:space="preserve">0.01 per share. Pursuant to the terms of the Agreement, the Company will issue to the Warrant Holders an aggregate of </w:t>
      </w:r>
      <w:bookmarkStart w:id="429" w:name="xdx_906_eus-gaap--StockIssuedDuringPerio"/>
      <w:bookmarkEnd w:id="429"/>
      <w:r>
        <w:rPr>
          <w:rFonts w:ascii="Times New Roman;Times;Serif" w:hAnsi="Times New Roman;Times;Serif"/>
          <w:b w:val="false"/>
          <w:i w:val="false"/>
          <w:caps w:val="false"/>
          <w:smallCaps w:val="false"/>
          <w:sz w:val="20"/>
        </w:rPr>
        <w:t xml:space="preserve">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w:t>
      </w:r>
      <w:bookmarkStart w:id="430" w:name="xdx_903_ecustom--CommonStockOutstandingP"/>
      <w:bookmarkEnd w:id="430"/>
      <w:r>
        <w:rPr>
          <w:rFonts w:ascii="Times New Roman;Times;Serif" w:hAnsi="Times New Roman;Times;Serif"/>
          <w:b w:val="false"/>
          <w:i w:val="false"/>
          <w:caps w:val="false"/>
          <w:smallCaps w:val="false"/>
          <w:sz w:val="20"/>
        </w:rPr>
        <w:t>19.98% of the shares of Common Stock outstanding as of the date of the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2025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2025, the Company entered into a Securities Purchase Agreement with certain institutional and accredited investors, for the issuance and sale in a private placement of (i) </w:t>
      </w:r>
      <w:bookmarkStart w:id="431" w:name="xdx_90B_eus-gaap--StockIssuedDuringPerio"/>
      <w:bookmarkEnd w:id="431"/>
      <w:r>
        <w:rPr>
          <w:rFonts w:ascii="Times New Roman;Times;Serif" w:hAnsi="Times New Roman;Times;Serif"/>
          <w:b w:val="false"/>
          <w:i w:val="false"/>
          <w:caps w:val="false"/>
          <w:smallCaps w:val="false"/>
          <w:sz w:val="20"/>
        </w:rPr>
        <w:t xml:space="preserve">185,186 shares of the Company’s common stock, (ii) </w:t>
      </w:r>
      <w:bookmarkStart w:id="432" w:name="xdx_907_eus-gaap--ClassOfWarrantOrRightN"/>
      <w:bookmarkEnd w:id="432"/>
      <w:r>
        <w:rPr>
          <w:rFonts w:ascii="Times New Roman;Times;Serif" w:hAnsi="Times New Roman;Times;Serif"/>
          <w:b w:val="false"/>
          <w:i w:val="false"/>
          <w:caps w:val="false"/>
          <w:smallCaps w:val="false"/>
          <w:sz w:val="20"/>
        </w:rPr>
        <w:t>296,297 of pre-funded warrants at an exercise price of $</w:t>
      </w:r>
      <w:bookmarkStart w:id="433" w:name="xdx_90F_eus-gaap--ClassOfWarrantOrRightE"/>
      <w:bookmarkEnd w:id="433"/>
      <w:r>
        <w:rPr>
          <w:rFonts w:ascii="Times New Roman;Times;Serif" w:hAnsi="Times New Roman;Times;Serif"/>
          <w:b w:val="false"/>
          <w:i w:val="false"/>
          <w:caps w:val="false"/>
          <w:smallCaps w:val="false"/>
          <w:sz w:val="20"/>
        </w:rPr>
        <w:t xml:space="preserve">0.0001 per share and (iii) </w:t>
      </w:r>
      <w:bookmarkStart w:id="434" w:name="xdx_90E_eus-gaap--ClassOfWarrantOrRightN"/>
      <w:bookmarkEnd w:id="434"/>
      <w:r>
        <w:rPr>
          <w:rFonts w:ascii="Times New Roman;Times;Serif" w:hAnsi="Times New Roman;Times;Serif"/>
          <w:b w:val="false"/>
          <w:i w:val="false"/>
          <w:caps w:val="false"/>
          <w:smallCaps w:val="false"/>
          <w:sz w:val="20"/>
        </w:rPr>
        <w:t>962,964 warrants at an exercise price of $</w:t>
      </w:r>
      <w:bookmarkStart w:id="435" w:name="xdx_903_eus-gaap--ClassOfWarrantOrRightE"/>
      <w:bookmarkEnd w:id="435"/>
      <w:r>
        <w:rPr>
          <w:rFonts w:ascii="Times New Roman;Times;Serif" w:hAnsi="Times New Roman;Times;Serif"/>
          <w:b w:val="false"/>
          <w:i w:val="false"/>
          <w:caps w:val="false"/>
          <w:smallCaps w:val="false"/>
          <w:sz w:val="20"/>
        </w:rPr>
        <w:t>6.75 per share for gross proceeds of approximately $</w:t>
      </w:r>
      <w:bookmarkStart w:id="436" w:name="xdx_90C_eus-gaap--ProceedsFromIssuanceOr"/>
      <w:bookmarkEnd w:id="436"/>
      <w:r>
        <w:rPr>
          <w:rFonts w:ascii="Times New Roman;Times;Serif" w:hAnsi="Times New Roman;Times;Serif"/>
          <w:b w:val="false"/>
          <w:i w:val="false"/>
          <w:caps w:val="false"/>
          <w:smallCaps w:val="false"/>
          <w:sz w:val="20"/>
        </w:rPr>
        <w:t>3.3 million before the deduction of placement agent fees and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issued to H.C. Wainwright &amp; Co., LLC warrants (the “Placement Agent Warrants”) to purchase up to an aggregate of </w:t>
      </w:r>
      <w:bookmarkStart w:id="437" w:name="xdx_900_eus-gaap--ClassOfWarrantOrRightN"/>
      <w:bookmarkEnd w:id="437"/>
      <w:r>
        <w:rPr>
          <w:rFonts w:ascii="Times New Roman;Times;Serif" w:hAnsi="Times New Roman;Times;Serif"/>
          <w:b w:val="false"/>
          <w:i w:val="false"/>
          <w:caps w:val="false"/>
          <w:smallCaps w:val="false"/>
          <w:sz w:val="20"/>
        </w:rPr>
        <w:t>24,075 shares of common stock at an exercise price equal to $</w:t>
      </w:r>
      <w:bookmarkStart w:id="438" w:name="xdx_90E_eus-gaap--ClassOfWarrantOrRightE"/>
      <w:bookmarkEnd w:id="438"/>
      <w:r>
        <w:rPr>
          <w:rFonts w:ascii="Times New Roman;Times;Serif" w:hAnsi="Times New Roman;Times;Serif"/>
          <w:b w:val="false"/>
          <w:i w:val="false"/>
          <w:caps w:val="false"/>
          <w:smallCaps w:val="false"/>
          <w:sz w:val="20"/>
        </w:rPr>
        <w:t>8.44 per share. The Placement Agent Warrants have substantially the same terms as the Warrants. The closing of the May 2025 Offering occurred on May 28, 2025. On July 11, 2025, the Company’s stockholders approved the issuance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2025, the Company entered into a Securities Purchase Agreement (the “December 2025 Purchase Agreement”) with a single healthcare-focused institutional investor (the “Purchaser”) for a registered direct offering (“the December 2025 Offering”) of (i) </w:t>
      </w:r>
      <w:bookmarkStart w:id="439" w:name="xdx_904_eus-gaap--StockIssuedDuringPerio"/>
      <w:bookmarkEnd w:id="439"/>
      <w:r>
        <w:rPr>
          <w:rFonts w:ascii="Times New Roman;Times;Serif" w:hAnsi="Times New Roman;Times;Serif"/>
          <w:b w:val="false"/>
          <w:i w:val="false"/>
          <w:caps w:val="false"/>
          <w:smallCaps w:val="false"/>
          <w:sz w:val="20"/>
        </w:rPr>
        <w:t xml:space="preserve">330,000 shares of the Company’s common stock, (ii) pre-funded warrants (the “December 2025 Pre-funded Warrants”) in lieu of shares of the Company’s common stock, to the extent the Purchaser so chooses, to purchase up to </w:t>
      </w:r>
      <w:bookmarkStart w:id="440" w:name="xdx_90F_eus-gaap--ClassOfWarrantOrRightN"/>
      <w:bookmarkEnd w:id="440"/>
      <w:r>
        <w:rPr>
          <w:rFonts w:ascii="Times New Roman;Times;Serif" w:hAnsi="Times New Roman;Times;Serif"/>
          <w:b w:val="false"/>
          <w:i w:val="false"/>
          <w:caps w:val="false"/>
          <w:smallCaps w:val="false"/>
          <w:sz w:val="20"/>
        </w:rPr>
        <w:t xml:space="preserve">1,609,114 shares of the Company’s common stock (the “Pre-funded Warrant Shares”), and (iii) warrants (the “December 2025 Warrants”) to purchase up to </w:t>
      </w:r>
      <w:bookmarkStart w:id="441" w:name="xdx_905_eus-gaap--ClassOfWarrantOrRightN"/>
      <w:bookmarkEnd w:id="441"/>
      <w:r>
        <w:rPr>
          <w:rFonts w:ascii="Times New Roman;Times;Serif" w:hAnsi="Times New Roman;Times;Serif"/>
          <w:b w:val="false"/>
          <w:i w:val="false"/>
          <w:caps w:val="false"/>
          <w:smallCaps w:val="false"/>
          <w:sz w:val="20"/>
        </w:rPr>
        <w:t>1,939,114 shares of the Company’s common stock. The closing of the December 2025 Offering was completed on December 31, 2025. The Maxim Group LLC acted as the lead placement agent for the December 2025 Offering. Brookline Capital Markets, a division of Arcadia Securities, LLC, acted as co-placement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and Warrants were sold at a combined offering price of $</w:t>
      </w:r>
      <w:bookmarkStart w:id="442" w:name="xdx_90D_eus-gaap--SharePrice_iI_pid_c202"/>
      <w:bookmarkEnd w:id="442"/>
      <w:r>
        <w:rPr>
          <w:rFonts w:ascii="Times New Roman;Times;Serif" w:hAnsi="Times New Roman;Times;Serif"/>
          <w:b w:val="false"/>
          <w:i w:val="false"/>
          <w:caps w:val="false"/>
          <w:smallCaps w:val="false"/>
          <w:sz w:val="20"/>
        </w:rPr>
        <w:t>3.61 per share of the Company’s common stock and December 2025 Warrant. The December 2025 Pre-funded Warrants and Warrants are being sold at a combined offering price of $</w:t>
      </w:r>
      <w:bookmarkStart w:id="443" w:name="xdx_901_eus-gaap--SharePrice_iI_pid_c202"/>
      <w:bookmarkEnd w:id="443"/>
      <w:r>
        <w:rPr>
          <w:rFonts w:ascii="Times New Roman;Times;Serif" w:hAnsi="Times New Roman;Times;Serif"/>
          <w:b w:val="false"/>
          <w:i w:val="false"/>
          <w:caps w:val="false"/>
          <w:smallCaps w:val="false"/>
          <w:sz w:val="20"/>
        </w:rPr>
        <w:t>3.6099 per December 2025 Pre-funded Warrant and December 2025 Warrant. The December 2025 Pre-funded Warrants have an exercise price of $</w:t>
      </w:r>
      <w:bookmarkStart w:id="444" w:name="xdx_909_eus-gaap--ClassOfWarrantOrRightE"/>
      <w:bookmarkEnd w:id="444"/>
      <w:r>
        <w:rPr>
          <w:rFonts w:ascii="Times New Roman;Times;Serif" w:hAnsi="Times New Roman;Times;Serif"/>
          <w:b w:val="false"/>
          <w:i w:val="false"/>
          <w:caps w:val="false"/>
          <w:smallCaps w:val="false"/>
          <w:sz w:val="20"/>
        </w:rPr>
        <w:t>0.0001, were immediately exercisable and do not have an expiration date. The December 2025 Warrants have an exercise price of $</w:t>
      </w:r>
      <w:bookmarkStart w:id="445" w:name="xdx_900_eus-gaap--ClassOfWarrantOrRightE"/>
      <w:bookmarkEnd w:id="445"/>
      <w:r>
        <w:rPr>
          <w:rFonts w:ascii="Times New Roman;Times;Serif" w:hAnsi="Times New Roman;Times;Serif"/>
          <w:b w:val="false"/>
          <w:i w:val="false"/>
          <w:caps w:val="false"/>
          <w:smallCaps w:val="false"/>
          <w:sz w:val="20"/>
        </w:rPr>
        <w:t xml:space="preserve">3.482 per share and were immediately exercisable for a term of five years following the date of issuance. </w:t>
      </w:r>
      <w:bookmarkStart w:id="446" w:name="xdx_90C_eus-gaap--ClassOfWarrantOrRightR"/>
      <w:bookmarkEnd w:id="446"/>
      <w:r>
        <w:rPr>
          <w:rFonts w:ascii="Times New Roman;Times;Serif" w:hAnsi="Times New Roman;Times;Serif"/>
          <w:b w:val="false"/>
          <w:i w:val="false"/>
          <w:caps w:val="false"/>
          <w:smallCaps w:val="false"/>
          <w:sz w:val="20"/>
        </w:rPr>
        <w:t>The Company cannot effect the exercise of any December 2025 Pre-funded Warrant or December 2025 Warrant, and a holder will not be entitled to exercise any portion of any December 2025 Pre-funded Warrant or December 2025 Warrant, if, upon giving effect to such exercise, the aggregate number of shares of Common Stock beneficially owned by the holder (together with its affiliates) would exceed 9.99% or 4.99%, respectively, of the number of shares of Common Stock outstanding immediately after giving effect to the exercise, which percentage may be increased or decreased at the holder’s election upon 61 days’ notice to the Company subject to the terms of such December 2025 Pre-funded Warrants or December 2025 Warrants, provided that such percentage may in no event exceed 19.99%.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gross proceeds of approximately $</w:t>
      </w:r>
      <w:bookmarkStart w:id="447" w:name="xdx_90C_eus-gaap--ProceedsFromIssuanceOr"/>
      <w:bookmarkEnd w:id="447"/>
      <w:r>
        <w:rPr>
          <w:rFonts w:ascii="Times New Roman;Times;Serif" w:hAnsi="Times New Roman;Times;Serif"/>
          <w:b w:val="false"/>
          <w:i w:val="false"/>
          <w:caps w:val="false"/>
          <w:smallCaps w:val="false"/>
          <w:sz w:val="20"/>
        </w:rPr>
        <w:t>7.0 million from the December 2025 Offering, before deducting placement agent fees and other offering expenses payable by the Company. The Company plans to use the proceeds from the Offering for general corporate purposes, including research and development activities, capital expenditures and working capital. The December 2025 Purchase Agreement contains customary representations and warranties of the Company, on the one hand, and the Purchaser, on the other hand, and customary 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pre-funded warrants, and warrants issued and sold to the Purchaser under the December 2025 Purchase Agreement were offered and sold by the Company pursuant to an effective registration statement on Form S-3 (Registration No. 333-279425), as previously filed with and declared effective by the SEC and a related prospectus supplement.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a description of the Series A Preferred Stock issued in connection with the June 2026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Unregistered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six-month period June 30, 2026, the Company issued </w:t>
      </w:r>
      <w:bookmarkStart w:id="448" w:name="xdx_908_eus-gaap--StockIssuedDuringPerio"/>
      <w:bookmarkEnd w:id="448"/>
      <w:r>
        <w:rPr>
          <w:rFonts w:ascii="Times New Roman;Times;Serif" w:hAnsi="Times New Roman;Times;Serif"/>
          <w:b w:val="false"/>
          <w:i w:val="false"/>
          <w:caps w:val="false"/>
          <w:smallCaps w:val="false"/>
          <w:sz w:val="20"/>
        </w:rPr>
        <w:t>49,135 shares of common stock to certain officers and directors of the Company in lieu of approximately $</w:t>
      </w:r>
      <w:bookmarkStart w:id="449" w:name="xdx_904_eus-gaap--StockIssuedDuringPerio"/>
      <w:bookmarkEnd w:id="449"/>
      <w:r>
        <w:rPr>
          <w:rFonts w:ascii="Times New Roman;Times;Serif" w:hAnsi="Times New Roman;Times;Serif"/>
          <w:b w:val="false"/>
          <w:i w:val="false"/>
          <w:caps w:val="false"/>
          <w:smallCaps w:val="false"/>
          <w:sz w:val="20"/>
        </w:rPr>
        <w:t>105,000 in compensation and fees. These shares are unregistered and subject to the rules as outlined in Section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0" w:name="xdx_80D_eus-gaap--DisclosureOfCompensati"/>
      <w:bookmarkEnd w:id="450"/>
      <w:r>
        <w:rPr>
          <w:rFonts w:ascii="Times New Roman;Times;Serif" w:hAnsi="Times New Roman;Times;Serif"/>
          <w:b/>
          <w:i w:val="false"/>
          <w:caps w:val="false"/>
          <w:smallCaps w:val="false"/>
          <w:sz w:val="20"/>
        </w:rPr>
        <w:t xml:space="preserve">Note 9. </w:t>
      </w:r>
      <w:bookmarkStart w:id="451" w:name="xdx_826_zOBMqCnh1jsj"/>
      <w:bookmarkEnd w:id="45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long-term compensation plans that permit the granting of equity-based awards in the form of stock options, restricted stock, restricted stock units, stock appreciation rights, other stock awards, and performance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2018 Annual Stockholders Meeting of the Company (“ASHM”) held on May 15, 2018, stockholders approved the Imunon, Inc. 2018 Stock Incentive Plan (the “2018 Plan”). The 2018 Plan, as originally adopted, permitted the granting of shares of Imunon common stock as equity awards in the form of incentive stock options, nonqualified stock options, restricted stock, restricted stock units, stock appreciation rights, other stock awards, performance awards, or in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have since approved amendments to the 2018 Plan at the 2019 ASHM held on May 14, 2019, the 2020 ASHM held on June 15, 2020, the 2021 ASHM held on June 10, 2021, the 2023 ASHM held on June 14, 2023, the 2025 ASHM held on July 11, 2025 and at the 2026 ASHM held on June 16, 2026. As of June 30, 2026, a total of </w:t>
      </w:r>
      <w:bookmarkStart w:id="452" w:name="xdx_90D_eus-gaap--ShareBasedCompensation"/>
      <w:bookmarkEnd w:id="452"/>
      <w:r>
        <w:rPr>
          <w:rFonts w:ascii="Times New Roman;Times;Serif" w:hAnsi="Times New Roman;Times;Serif"/>
          <w:b w:val="false"/>
          <w:i w:val="false"/>
          <w:caps w:val="false"/>
          <w:smallCaps w:val="false"/>
          <w:sz w:val="20"/>
        </w:rPr>
        <w:t xml:space="preserve">1,264,665 awards have been approved by the Company’s shareholders for issuance under the 2018 Plan, as amended. There are also </w:t>
      </w:r>
      <w:bookmarkStart w:id="453" w:name="xdx_90C_eus-gaap--ShareBasedCompensation"/>
      <w:bookmarkEnd w:id="453"/>
      <w:r>
        <w:rPr>
          <w:rFonts w:ascii="Times New Roman;Times;Serif" w:hAnsi="Times New Roman;Times;Serif"/>
          <w:b w:val="false"/>
          <w:i w:val="false"/>
          <w:caps w:val="false"/>
          <w:smallCaps w:val="false"/>
          <w:sz w:val="20"/>
        </w:rPr>
        <w:t>339 awards remaining under prior plans. Following is a schedule of the stock awards approved to the 2018 Plan, as amended:</w:t>
      </w:r>
    </w:p>
    <w:p>
      <w:pPr>
        <w:pStyle w:val="TextBody"/>
        <w:bidi w:val="0"/>
        <w:spacing w:before="0" w:after="0"/>
        <w:ind w:left="0" w:right="0" w:hanging="0"/>
        <w:jc w:val="both"/>
        <w:rPr>
          <w:caps w:val="false"/>
          <w:smallCaps w:val="false"/>
        </w:rPr>
      </w:pPr>
      <w:bookmarkStart w:id="454" w:name="xdx_899_ecustom--ScheduleOfAnnualStockho"/>
      <w:bookmarkEnd w:id="454"/>
      <w:r>
        <w:rPr>
          <w:caps w:val="false"/>
          <w:smallCaps w:val="false"/>
        </w:rPr>
        <w:t> </w:t>
      </w:r>
      <w:bookmarkStart w:id="455" w:name="xdx_8B8_zLJjtjY2sAt6"/>
      <w:bookmarkEnd w:id="455"/>
      <w:r>
        <w:rPr>
          <w:rFonts w:ascii="Times New Roman;Times;Serif" w:hAnsi="Times New Roman;Times;Serif"/>
          <w:b w:val="false"/>
          <w:i w:val="false"/>
          <w:caps w:val="false"/>
          <w:smallCaps w:val="false"/>
          <w:sz w:val="20"/>
        </w:rPr>
        <w:t>Schedule of 2018 ASHM Plan Amendments</w:t>
      </w:r>
    </w:p>
    <w:tbl>
      <w:tblPr>
        <w:tblW w:w="6678" w:type="dxa"/>
        <w:jc w:val="left"/>
        <w:tblInd w:w="0" w:type="dxa"/>
        <w:tblLayout w:type="fixed"/>
        <w:tblCellMar>
          <w:top w:w="0" w:type="dxa"/>
          <w:left w:w="0" w:type="dxa"/>
          <w:bottom w:w="28" w:type="dxa"/>
          <w:right w:w="0" w:type="dxa"/>
        </w:tblCellMar>
      </w:tblPr>
      <w:tblGrid>
        <w:gridCol w:w="1385"/>
        <w:gridCol w:w="60"/>
        <w:gridCol w:w="1940"/>
        <w:gridCol w:w="60"/>
        <w:gridCol w:w="85"/>
        <w:gridCol w:w="1404"/>
        <w:gridCol w:w="60"/>
        <w:gridCol w:w="60"/>
        <w:gridCol w:w="89"/>
        <w:gridCol w:w="1460"/>
        <w:gridCol w:w="75"/>
      </w:tblGrid>
      <w:tr>
        <w:trPr/>
        <w:tc>
          <w:tcPr>
            <w:tcW w:w="13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Event</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 Plan (as adopted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amended)</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approved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4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Approved</w:t>
            </w:r>
          </w:p>
        </w:tc>
        <w:tc>
          <w:tcPr>
            <w:tcW w:w="75" w:type="dxa"/>
            <w:tcBorders/>
            <w:tcMar>
              <w:bottom w:w="0" w:type="dxa"/>
            </w:tcMar>
            <w:vAlign w:val="center"/>
          </w:tcPr>
          <w:p>
            <w:pPr>
              <w:pStyle w:val="TableContents"/>
              <w:bidi w:val="0"/>
              <w:spacing w:before="0" w:after="283"/>
              <w:jc w:val="center"/>
              <w:rPr/>
            </w:pPr>
            <w:r>
              <w:rPr/>
              <w:t> </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2018 ASHM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2018 Plan 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56" w:name="xdx_902_eus-gaap--ShareBasedCompensation"/>
            <w:bookmarkEnd w:id="456"/>
            <w:r>
              <w:rPr>
                <w:rFonts w:ascii="Times New Roman;Times;Serif" w:hAnsi="Times New Roman;Times;Serif"/>
              </w:rPr>
              <w:t>12,000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57" w:name="xdx_90A_eus-gaap--CommonStockCapitalShar"/>
            <w:bookmarkEnd w:id="457"/>
            <w:r>
              <w:rPr>
                <w:rFonts w:ascii="Times New Roman;Times;Serif" w:hAnsi="Times New Roman;Times;Serif"/>
              </w:rPr>
              <w:t>12,000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2019 ASHM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58" w:name="xdx_905_eus-gaap--ShareBasedCompensation"/>
            <w:bookmarkEnd w:id="458"/>
            <w:r>
              <w:rPr>
                <w:rFonts w:ascii="Times New Roman;Times;Serif" w:hAnsi="Times New Roman;Times;Serif"/>
              </w:rPr>
              <w:t>5,333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59" w:name="xdx_906_eus-gaap--CommonStockCapitalShar"/>
            <w:bookmarkEnd w:id="459"/>
            <w:r>
              <w:rPr>
                <w:rFonts w:ascii="Times New Roman;Times;Serif" w:hAnsi="Times New Roman;Times;Serif"/>
              </w:rPr>
              <w:t>17,333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2020 ASHM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0" w:name="xdx_904_eus-gaap--ShareBasedCompensation"/>
            <w:bookmarkEnd w:id="460"/>
            <w:r>
              <w:rPr>
                <w:rFonts w:ascii="Times New Roman;Times;Serif" w:hAnsi="Times New Roman;Times;Serif"/>
              </w:rPr>
              <w:t>11,111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1" w:name="xdx_908_eus-gaap--CommonStockCapitalShar"/>
            <w:bookmarkEnd w:id="461"/>
            <w:r>
              <w:rPr>
                <w:rFonts w:ascii="Times New Roman;Times;Serif" w:hAnsi="Times New Roman;Times;Serif"/>
              </w:rPr>
              <w:t>28,444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 ASHM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62" w:name="xdx_90A_eus-gaap--ShareBasedCompensation"/>
            <w:bookmarkEnd w:id="462"/>
            <w:r>
              <w:rPr>
                <w:rFonts w:ascii="Times New Roman;Times;Serif" w:hAnsi="Times New Roman;Times;Serif"/>
              </w:rPr>
              <w:t>34,222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63" w:name="xdx_90F_eus-gaap--CommonStockCapitalShar"/>
            <w:bookmarkEnd w:id="463"/>
            <w:r>
              <w:rPr>
                <w:rFonts w:ascii="Times New Roman;Times;Serif" w:hAnsi="Times New Roman;Times;Serif"/>
              </w:rPr>
              <w:t>62,666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 ASHM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4" w:name="xdx_90C_eus-gaap--ShareBasedCompensation"/>
            <w:bookmarkEnd w:id="464"/>
            <w:r>
              <w:rPr>
                <w:rFonts w:ascii="Times New Roman;Times;Serif" w:hAnsi="Times New Roman;Times;Serif"/>
              </w:rPr>
              <w:t>68,666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5" w:name="xdx_90E_eus-gaap--CommonStockCapitalShar"/>
            <w:bookmarkEnd w:id="465"/>
            <w:r>
              <w:rPr>
                <w:rFonts w:ascii="Times New Roman;Times;Serif" w:hAnsi="Times New Roman;Times;Serif"/>
              </w:rPr>
              <w:t>131,332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 ASHM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66" w:name="xdx_906_eus-gaap--ShareBasedCompensation"/>
            <w:bookmarkEnd w:id="466"/>
            <w:r>
              <w:rPr>
                <w:rFonts w:ascii="Times New Roman;Times;Serif" w:hAnsi="Times New Roman;Times;Serif"/>
              </w:rPr>
              <w:t>133,333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467" w:name="xdx_906_eus-gaap--CommonStockCapitalShar"/>
            <w:bookmarkEnd w:id="467"/>
            <w:r>
              <w:rPr>
                <w:rFonts w:ascii="Times New Roman;Times;Serif" w:hAnsi="Times New Roman;Times;Serif"/>
              </w:rPr>
              <w:t>264,665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2026 ASHM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Amendment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8" w:name="xdx_909_eus-gaap--ShareBasedCompensation"/>
            <w:bookmarkEnd w:id="468"/>
            <w:r>
              <w:rPr>
                <w:rFonts w:ascii="Times New Roman;Times;Serif" w:hAnsi="Times New Roman;Times;Serif"/>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9" w:name="xdx_904_eus-gaap--CommonStockCapitalShar"/>
            <w:bookmarkEnd w:id="469"/>
            <w:r>
              <w:rPr>
                <w:rFonts w:ascii="Times New Roman;Times;Serif" w:hAnsi="Times New Roman;Times;Serif"/>
              </w:rPr>
              <w:t>1,264,665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0" w:name="xdx_8A5_z8enESNrNDt4"/>
      <w:bookmarkEnd w:id="4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issued stock awards to employees and directors in the form of stock options, restricted stock and common stock. </w:t>
      </w:r>
      <w:bookmarkStart w:id="471" w:name="xdx_907_ecustom--StockOptionsStrikePrice"/>
      <w:bookmarkEnd w:id="471"/>
      <w:r>
        <w:rPr>
          <w:rFonts w:ascii="Times New Roman;Times;Serif" w:hAnsi="Times New Roman;Times;Serif"/>
          <w:b w:val="false"/>
          <w:i w:val="false"/>
          <w:caps w:val="false"/>
          <w:smallCaps w:val="false"/>
          <w:sz w:val="20"/>
        </w:rPr>
        <w:t>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compensation cost related to stock options and restricted stock awards was approximately $</w:t>
      </w:r>
      <w:bookmarkStart w:id="472" w:name="xdx_90A_eus-gaap--AllocatedShareBasedCom"/>
      <w:bookmarkEnd w:id="472"/>
      <w:r>
        <w:rPr>
          <w:rFonts w:ascii="Times New Roman;Times;Serif" w:hAnsi="Times New Roman;Times;Serif"/>
          <w:b w:val="false"/>
          <w:i w:val="false"/>
          <w:caps w:val="false"/>
          <w:smallCaps w:val="false"/>
          <w:sz w:val="20"/>
        </w:rPr>
        <w:t>0.6 million and $</w:t>
      </w:r>
      <w:bookmarkStart w:id="473" w:name="xdx_903_eus-gaap--AllocatedShareBasedCom"/>
      <w:bookmarkEnd w:id="473"/>
      <w:r>
        <w:rPr>
          <w:rFonts w:ascii="Times New Roman;Times;Serif" w:hAnsi="Times New Roman;Times;Serif"/>
          <w:b w:val="false"/>
          <w:i w:val="false"/>
          <w:caps w:val="false"/>
          <w:smallCaps w:val="false"/>
          <w:sz w:val="20"/>
        </w:rPr>
        <w:t>0.3 million of expense for the six months ended June 30, 2026 and 2025, respectively. Of these amounts, approximately $</w:t>
      </w:r>
      <w:bookmarkStart w:id="474" w:name="xdx_906_eus-gaap--AllocatedShareBasedCom"/>
      <w:bookmarkEnd w:id="474"/>
      <w:r>
        <w:rPr>
          <w:rFonts w:ascii="Times New Roman;Times;Serif" w:hAnsi="Times New Roman;Times;Serif"/>
          <w:b w:val="false"/>
          <w:i w:val="false"/>
          <w:caps w:val="false"/>
          <w:smallCaps w:val="false"/>
          <w:sz w:val="20"/>
        </w:rPr>
        <w:t>0.2 million and $</w:t>
      </w:r>
      <w:bookmarkStart w:id="475" w:name="xdx_90D_eus-gaap--AllocatedShareBasedCom"/>
      <w:bookmarkEnd w:id="475"/>
      <w:r>
        <w:rPr>
          <w:rFonts w:ascii="Times New Roman;Times;Serif" w:hAnsi="Times New Roman;Times;Serif"/>
          <w:b w:val="false"/>
          <w:i w:val="false"/>
          <w:caps w:val="false"/>
          <w:smallCaps w:val="false"/>
          <w:sz w:val="20"/>
        </w:rPr>
        <w:t>0.4 million for the six months ended June 30, 2026 were charged to research and development expenses and administrative expenses, respectively, compared to $</w:t>
      </w:r>
      <w:bookmarkStart w:id="476" w:name="xdx_90F_eus-gaap--AllocatedShareBasedCom"/>
      <w:bookmarkEnd w:id="476"/>
      <w:r>
        <w:rPr>
          <w:rFonts w:ascii="Times New Roman;Times;Serif" w:hAnsi="Times New Roman;Times;Serif"/>
          <w:b w:val="false"/>
          <w:i w:val="false"/>
          <w:caps w:val="false"/>
          <w:smallCaps w:val="false"/>
          <w:sz w:val="20"/>
        </w:rPr>
        <w:t>0.1 million and $</w:t>
      </w:r>
      <w:bookmarkStart w:id="477" w:name="xdx_90D_eus-gaap--AllocatedShareBasedCom"/>
      <w:bookmarkEnd w:id="477"/>
      <w:r>
        <w:rPr>
          <w:rFonts w:ascii="Times New Roman;Times;Serif" w:hAnsi="Times New Roman;Times;Serif"/>
          <w:b w:val="false"/>
          <w:i w:val="false"/>
          <w:caps w:val="false"/>
          <w:smallCaps w:val="false"/>
          <w:sz w:val="20"/>
        </w:rPr>
        <w:t>0.2 million for the same periods of 2025 charged to research and development expenses and administrative expenses,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six-month period ended June 30, 2026, the Company issued </w:t>
      </w:r>
      <w:bookmarkStart w:id="478" w:name="xdx_90A_eus-gaap--StockIssuedDuringPerio"/>
      <w:bookmarkEnd w:id="478"/>
      <w:r>
        <w:rPr>
          <w:rFonts w:ascii="Times New Roman;Times;Serif" w:hAnsi="Times New Roman;Times;Serif"/>
          <w:b w:val="false"/>
          <w:i w:val="false"/>
          <w:caps w:val="false"/>
          <w:smallCaps w:val="false"/>
          <w:sz w:val="20"/>
        </w:rPr>
        <w:t>203,785 shares of common stock to employees in payment for $</w:t>
      </w:r>
      <w:bookmarkStart w:id="479" w:name="xdx_904_eus-gaap--StockIssuedDuringPerio"/>
      <w:bookmarkEnd w:id="479"/>
      <w:r>
        <w:rPr>
          <w:rFonts w:ascii="Times New Roman;Times;Serif" w:hAnsi="Times New Roman;Times;Serif"/>
          <w:b w:val="false"/>
          <w:i w:val="false"/>
          <w:caps w:val="false"/>
          <w:smallCaps w:val="false"/>
          <w:sz w:val="20"/>
        </w:rPr>
        <w:t>350,498 of their remaining bonuses accrued for 2025. A summary of stock option awards and restricted stock grants for the six-months ended June 30, 2026 is presented below:</w:t>
      </w:r>
    </w:p>
    <w:p>
      <w:pPr>
        <w:pStyle w:val="TextBody"/>
        <w:bidi w:val="0"/>
        <w:spacing w:before="0" w:after="0"/>
        <w:jc w:val="center"/>
        <w:rPr>
          <w:caps w:val="false"/>
          <w:smallCaps w:val="false"/>
        </w:rPr>
      </w:pPr>
      <w:bookmarkStart w:id="480" w:name="xdx_89C_ecustom--SummaryOfStockOptionAnd"/>
      <w:bookmarkEnd w:id="480"/>
      <w:r>
        <w:rPr>
          <w:caps w:val="false"/>
          <w:smallCaps w:val="false"/>
        </w:rPr>
        <w:t> </w:t>
      </w:r>
      <w:bookmarkStart w:id="481" w:name="xdx_8BD_zR9RRq2jiVQi"/>
      <w:bookmarkEnd w:id="481"/>
      <w:r>
        <w:rPr>
          <w:rFonts w:ascii="Times New Roman;Times;Serif" w:hAnsi="Times New Roman;Times;Serif"/>
          <w:b w:val="false"/>
          <w:i w:val="false"/>
          <w:caps w:val="false"/>
          <w:smallCaps w:val="false"/>
          <w:sz w:val="20"/>
        </w:rPr>
        <w:t>Schedule of Stock Options Awards and Restricted Stock Grants</w:t>
      </w:r>
    </w:p>
    <w:tbl>
      <w:tblPr>
        <w:tblW w:w="10205" w:type="dxa"/>
        <w:jc w:val="left"/>
        <w:tblInd w:w="0" w:type="dxa"/>
        <w:tblLayout w:type="fixed"/>
        <w:tblCellMar>
          <w:top w:w="0" w:type="dxa"/>
          <w:left w:w="0" w:type="dxa"/>
          <w:bottom w:w="0" w:type="dxa"/>
          <w:right w:w="0" w:type="dxa"/>
        </w:tblCellMar>
      </w:tblPr>
      <w:tblGrid>
        <w:gridCol w:w="4134"/>
        <w:gridCol w:w="60"/>
        <w:gridCol w:w="160"/>
        <w:gridCol w:w="895"/>
        <w:gridCol w:w="80"/>
        <w:gridCol w:w="60"/>
        <w:gridCol w:w="179"/>
        <w:gridCol w:w="696"/>
        <w:gridCol w:w="60"/>
        <w:gridCol w:w="60"/>
        <w:gridCol w:w="450"/>
        <w:gridCol w:w="605"/>
        <w:gridCol w:w="211"/>
        <w:gridCol w:w="211"/>
        <w:gridCol w:w="561"/>
        <w:gridCol w:w="336"/>
        <w:gridCol w:w="60"/>
        <w:gridCol w:w="60"/>
        <w:gridCol w:w="222"/>
        <w:gridCol w:w="1028"/>
        <w:gridCol w:w="77"/>
      </w:tblGrid>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Restricted Stock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Non-vested</w:t>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Terms of</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Restricted</w:t>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b/>
              </w:rPr>
            </w:pPr>
            <w:r>
              <w:rPr>
                <w:b/>
              </w:rPr>
              <w:t>Equity</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vAlign w:val="center"/>
          </w:tcPr>
          <w:p>
            <w:pPr>
              <w:pStyle w:val="TableContents"/>
              <w:bidi w:val="0"/>
              <w:spacing w:before="0" w:after="283"/>
              <w:jc w:val="center"/>
              <w:rPr>
                <w:b/>
              </w:rPr>
            </w:pPr>
            <w:r>
              <w:rPr>
                <w:b/>
              </w:rPr>
              <w:t>Stock</w:t>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p>
        </w:tc>
        <w:tc>
          <w:tcPr>
            <w:tcW w:w="77" w:type="dxa"/>
            <w:tcBorders/>
            <w:vAlign w:val="center"/>
          </w:tcPr>
          <w:p>
            <w:pPr>
              <w:pStyle w:val="TableContents"/>
              <w:bidi w:val="0"/>
              <w:spacing w:before="0" w:after="283"/>
              <w:jc w:val="center"/>
              <w:rPr/>
            </w:pPr>
            <w:r>
              <w:rPr/>
              <w:t> </w:t>
            </w:r>
          </w:p>
        </w:tc>
      </w:tr>
      <w:tr>
        <w:trPr/>
        <w:tc>
          <w:tcPr>
            <w:tcW w:w="4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r>
          </w:p>
        </w:tc>
        <w:tc>
          <w:tcPr>
            <w:tcW w:w="211"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center"/>
              <w:rPr/>
            </w:pPr>
            <w:r>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years)</w:t>
            </w:r>
          </w:p>
        </w:tc>
        <w:tc>
          <w:tcPr>
            <w:tcW w:w="77" w:type="dxa"/>
            <w:tcBorders/>
            <w:vAlign w:val="center"/>
          </w:tcPr>
          <w:p>
            <w:pPr>
              <w:pStyle w:val="TableContents"/>
              <w:bidi w:val="0"/>
              <w:spacing w:before="0" w:after="283"/>
              <w:jc w:val="center"/>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awards outstanding at January 1, 2026</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482" w:name="xdx_98F_eus-gaap--ShareBasedCompensation"/>
            <w:bookmarkEnd w:id="482"/>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3" w:name="xdx_981_eus-gaap--ShareBasedCompensation"/>
            <w:bookmarkEnd w:id="483"/>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bookmarkStart w:id="484" w:name="xdx_988_eus-gaap--ShareBasedCompensation"/>
            <w:bookmarkEnd w:id="484"/>
          </w:p>
        </w:tc>
        <w:tc>
          <w:tcPr>
            <w:tcW w:w="6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5" w:name="xdx_98E_eus-gaap--ShareBasedCompensation"/>
            <w:bookmarkEnd w:id="485"/>
          </w:p>
        </w:tc>
        <w:tc>
          <w:tcPr>
            <w:tcW w:w="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awards granted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486" w:name="xdx_987_eus-gaap--ShareBasedCompensation"/>
            <w:bookmarkEnd w:id="486"/>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7" w:name="xdx_985_eus-gaap--ShareBasedCompensation"/>
            <w:bookmarkEnd w:id="487"/>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bookmarkStart w:id="488" w:name="xdx_98B_eus-gaap--ShareBasedCompensation"/>
            <w:bookmarkEnd w:id="488"/>
          </w:p>
        </w:tc>
        <w:tc>
          <w:tcPr>
            <w:tcW w:w="6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9" w:name="xdx_98D_eus-gaap--ShareBasedCompensation"/>
            <w:bookmarkEnd w:id="489"/>
          </w:p>
        </w:tc>
        <w:tc>
          <w:tcPr>
            <w:tcW w:w="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awards terminated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0" w:name="xdx_982_eus-gaap--ShareBasedCompensation"/>
            <w:bookmarkEnd w:id="490"/>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1" w:name="xdx_98F_eus-gaap--ShareBasedCompensation"/>
            <w:bookmarkEnd w:id="491"/>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bookmarkStart w:id="492" w:name="xdx_983_eus-gaap--ShareBasedCompensation"/>
            <w:bookmarkEnd w:id="492"/>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3" w:name="xdx_98E_eus-gaap--ShareBasedCompensation"/>
            <w:bookmarkEnd w:id="493"/>
          </w:p>
        </w:tc>
        <w:tc>
          <w:tcPr>
            <w:tcW w:w="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awards outstanding at June 30, 2026</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4" w:name="xdx_98B_eus-gaap--ShareBasedCompensation"/>
            <w:bookmarkEnd w:id="494"/>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5" w:name="xdx_981_eus-gaap--ShareBasedCompensation"/>
            <w:bookmarkEnd w:id="495"/>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bookmarkStart w:id="496" w:name="xdx_986_eus-gaap--ShareBasedCompensation"/>
            <w:bookmarkEnd w:id="496"/>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7" w:name="xdx_980_eus-gaap--ShareBasedCompensation"/>
            <w:bookmarkEnd w:id="497"/>
          </w:p>
        </w:tc>
        <w:tc>
          <w:tcPr>
            <w:tcW w:w="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bookmarkStart w:id="498" w:name="xdx_90D_eus-gaap--SharebasedCompensation"/>
            <w:bookmarkEnd w:id="498"/>
            <w:r>
              <w:rPr>
                <w:rFonts w:ascii="Times New Roman;Times;Serif" w:hAnsi="Times New Roman;Times;Serif"/>
                <w:sz w:val="20"/>
              </w:rPr>
              <w:t>9.7</w:t>
            </w:r>
          </w:p>
        </w:tc>
        <w:tc>
          <w:tcPr>
            <w:tcW w:w="77"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awards exercisable at June 30, 2026</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9" w:name="xdx_985_eus-gaap--ShareBasedCompensation"/>
            <w:bookmarkEnd w:id="499"/>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0" w:name="xdx_986_eus-gaap--ShareBasedCompensation"/>
            <w:bookmarkEnd w:id="500"/>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bookmarkStart w:id="501" w:name="xdx_90D_eus-gaap--SharebasedCompensation"/>
            <w:bookmarkEnd w:id="501"/>
            <w:r>
              <w:rPr>
                <w:rFonts w:ascii="Times New Roman;Times;Serif" w:hAnsi="Times New Roman;Times;Serif"/>
                <w:sz w:val="20"/>
              </w:rPr>
              <w:t>9.7</w:t>
            </w:r>
          </w:p>
        </w:tc>
        <w:tc>
          <w:tcPr>
            <w:tcW w:w="77" w:type="dxa"/>
            <w:tcBorders/>
            <w:shd w:fill="CCEE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intrinsic value of equity awards exercisable at June 30, 2026</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2" w:name="xdx_98C_eus-gaap--SharebasedCompensation"/>
            <w:bookmarkEnd w:id="502"/>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3" w:name="xdx_8A4_zrGEQych7KQ8"/>
      <w:bookmarkEnd w:id="5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approximately </w:t>
      </w:r>
      <w:bookmarkStart w:id="504" w:name="xdx_90A_eus-gaap--ShareBasedCompensation"/>
      <w:bookmarkEnd w:id="504"/>
      <w:r>
        <w:rPr>
          <w:rFonts w:ascii="Times New Roman;Times;Serif" w:hAnsi="Times New Roman;Times;Serif"/>
          <w:b w:val="false"/>
          <w:i w:val="false"/>
          <w:caps w:val="false"/>
          <w:smallCaps w:val="false"/>
          <w:sz w:val="20"/>
        </w:rPr>
        <w:t>803,000 shares remaining for issuance under the 2018 Plan, as amended. As of June 30, 2026, there was a total of $</w:t>
      </w:r>
      <w:bookmarkStart w:id="505" w:name="xdx_902_eus-gaap--EmployeeServiceShareBa"/>
      <w:bookmarkEnd w:id="505"/>
      <w:r>
        <w:rPr>
          <w:rFonts w:ascii="Times New Roman;Times;Serif" w:hAnsi="Times New Roman;Times;Serif"/>
          <w:b w:val="false"/>
          <w:i w:val="false"/>
          <w:caps w:val="false"/>
          <w:smallCaps w:val="false"/>
          <w:sz w:val="20"/>
        </w:rPr>
        <w:t xml:space="preserve">0.3 million unrecognized compensation cost related to non-vested stock-based compensation arrangements. That cost is expected to be recognized over a period of </w:t>
      </w:r>
      <w:bookmarkStart w:id="506" w:name="xdx_903_eus-gaap--EmployeeServiceShareBa"/>
      <w:bookmarkEnd w:id="506"/>
      <w:r>
        <w:rPr>
          <w:rFonts w:ascii="Times New Roman;Times;Serif" w:hAnsi="Times New Roman;Times;Serif"/>
          <w:b w:val="false"/>
          <w:i w:val="false"/>
          <w:caps w:val="false"/>
          <w:smallCaps w:val="false"/>
          <w:sz w:val="20"/>
        </w:rPr>
        <w:t>1.3 years. The weighted average grant date fair values of the stock options granted were $</w:t>
      </w:r>
      <w:bookmarkStart w:id="507" w:name="xdx_901_eus-gaap--ShareBasedCompensation"/>
      <w:bookmarkEnd w:id="507"/>
      <w:r>
        <w:rPr>
          <w:rFonts w:ascii="Times New Roman;Times;Serif" w:hAnsi="Times New Roman;Times;Serif"/>
          <w:b w:val="false"/>
          <w:i w:val="false"/>
          <w:caps w:val="false"/>
          <w:smallCaps w:val="false"/>
          <w:sz w:val="20"/>
        </w:rPr>
        <w:t>3.74 during the six-month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8" w:name="xdx_895_eus-gaap--ScheduleOfShareBasedPa"/>
      <w:bookmarkEnd w:id="508"/>
      <w:r>
        <w:rPr>
          <w:rFonts w:ascii="Times New Roman;Times;Serif" w:hAnsi="Times New Roman;Times;Serif"/>
          <w:b w:val="false"/>
          <w:i w:val="false"/>
          <w:caps w:val="false"/>
          <w:smallCaps w:val="false"/>
          <w:sz w:val="20"/>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pStyle w:val="TextBody"/>
        <w:bidi w:val="0"/>
        <w:spacing w:before="0" w:after="0"/>
        <w:jc w:val="center"/>
        <w:rPr>
          <w:caps w:val="false"/>
          <w:smallCaps w:val="false"/>
        </w:rPr>
      </w:pPr>
      <w:r>
        <w:rPr>
          <w:caps w:val="false"/>
          <w:smallCaps w:val="false"/>
        </w:rPr>
        <w:t> </w:t>
      </w:r>
      <w:bookmarkStart w:id="509" w:name="xdx_8B4_zFfFbvjaaXP4"/>
      <w:bookmarkEnd w:id="509"/>
      <w:r>
        <w:rPr>
          <w:rFonts w:ascii="Times New Roman;Times;Serif" w:hAnsi="Times New Roman;Times;Serif"/>
          <w:b w:val="false"/>
          <w:i w:val="false"/>
          <w:caps w:val="false"/>
          <w:smallCaps w:val="false"/>
          <w:sz w:val="20"/>
        </w:rPr>
        <w:t>Schedule of Assumptions Used to Determine Fair Value of Options Granted</w:t>
      </w:r>
    </w:p>
    <w:tbl>
      <w:tblPr>
        <w:tblW w:w="5110" w:type="dxa"/>
        <w:jc w:val="left"/>
        <w:tblInd w:w="0" w:type="dxa"/>
        <w:tblLayout w:type="fixed"/>
        <w:tblCellMar>
          <w:top w:w="0" w:type="dxa"/>
          <w:left w:w="0" w:type="dxa"/>
          <w:bottom w:w="0" w:type="dxa"/>
          <w:right w:w="0" w:type="dxa"/>
        </w:tblCellMar>
      </w:tblPr>
      <w:tblGrid>
        <w:gridCol w:w="2330"/>
        <w:gridCol w:w="60"/>
        <w:gridCol w:w="60"/>
        <w:gridCol w:w="680"/>
        <w:gridCol w:w="215"/>
        <w:gridCol w:w="60"/>
        <w:gridCol w:w="60"/>
        <w:gridCol w:w="1415"/>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center"/>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center"/>
              <w:rPr/>
            </w:pPr>
            <w:r>
              <w:rPr/>
              <w:t> </w:t>
            </w:r>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bookmarkStart w:id="510" w:name="xdx_909_eus-gaap--ShareBasedCompensation"/>
            <w:bookmarkEnd w:id="510"/>
            <w:r>
              <w:rPr>
                <w:rFonts w:ascii="Times New Roman;Times;Serif" w:hAnsi="Times New Roman;Times;Serif"/>
              </w:rPr>
              <w:t>4.19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sz w:val="20"/>
              </w:rPr>
            </w:pPr>
            <w:bookmarkStart w:id="511" w:name="xdx_90B_eus-gaap--ShareBasedCompensation"/>
            <w:bookmarkEnd w:id="511"/>
            <w:r>
              <w:rPr>
                <w:rFonts w:ascii="Times New Roman;Times;Serif" w:hAnsi="Times New Roman;Times;Serif"/>
                <w:sz w:val="20"/>
              </w:rPr>
              <w:t xml:space="preserve">4.31 to </w:t>
            </w:r>
            <w:bookmarkStart w:id="512" w:name="xdx_902_eus-gaap--ShareBasedCompensation"/>
            <w:bookmarkEnd w:id="512"/>
            <w:r>
              <w:rPr>
                <w:rFonts w:ascii="Times New Roman;Times;Serif" w:hAnsi="Times New Roman;Times;Serif"/>
                <w:sz w:val="20"/>
              </w:rPr>
              <w:t>4.55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bookmarkStart w:id="513" w:name="xdx_909_eus-gaap--ShareBasedCompensation"/>
            <w:bookmarkEnd w:id="513"/>
            <w:r>
              <w:rPr>
                <w:rFonts w:ascii="Times New Roman;Times;Serif" w:hAnsi="Times New Roman;Times;Serif"/>
              </w:rPr>
              <w:t>122.97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sz w:val="20"/>
              </w:rPr>
            </w:pPr>
            <w:bookmarkStart w:id="514" w:name="xdx_900_eus-gaap--ShareBasedCompensation"/>
            <w:bookmarkEnd w:id="514"/>
            <w:r>
              <w:rPr>
                <w:rFonts w:ascii="Times New Roman;Times;Serif" w:hAnsi="Times New Roman;Times;Serif"/>
                <w:sz w:val="20"/>
              </w:rPr>
              <w:t xml:space="preserve">110.74 to </w:t>
            </w:r>
            <w:bookmarkStart w:id="515" w:name="xdx_906_eus-gaap--ShareBasedCompensation"/>
            <w:bookmarkEnd w:id="515"/>
            <w:r>
              <w:rPr>
                <w:rFonts w:ascii="Times New Roman;Times;Serif" w:hAnsi="Times New Roman;Times;Serif"/>
                <w:sz w:val="20"/>
              </w:rPr>
              <w:t>115.63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bookmarkStart w:id="516" w:name="xdx_902_eus-gaap--SharebasedCompensation"/>
            <w:bookmarkEnd w:id="516"/>
            <w:r>
              <w:rPr>
                <w:rFonts w:ascii="Times New Roman;Times;Serif" w:hAnsi="Times New Roman;Times;Serif"/>
              </w:rPr>
              <w:t>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sz w:val="20"/>
              </w:rPr>
            </w:pPr>
            <w:bookmarkStart w:id="517" w:name="xdx_900_eus-gaap--SharebasedCompensation"/>
            <w:bookmarkEnd w:id="517"/>
            <w:r>
              <w:rPr>
                <w:rFonts w:ascii="Times New Roman;Times;Serif" w:hAnsi="Times New Roman;Times;Serif"/>
                <w:sz w:val="20"/>
              </w:rPr>
              <w:t xml:space="preserve">9.0 to </w:t>
            </w:r>
            <w:bookmarkStart w:id="518" w:name="xdx_905_eus-gaap--SharebasedCompensation"/>
            <w:bookmarkEnd w:id="518"/>
            <w:r>
              <w:rPr>
                <w:rFonts w:ascii="Times New Roman;Times;Serif" w:hAnsi="Times New Roman;Times;Serif"/>
                <w:sz w:val="20"/>
              </w:rPr>
              <w:t xml:space="preserve">10.0 </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19" w:name="xdx_98E_eus-gaap--ShareBasedCompensation"/>
            <w:bookmarkEnd w:id="519"/>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0" w:name="xdx_989_eus-gaap--ShareBasedCompensation"/>
            <w:bookmarkEnd w:id="520"/>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521" w:name="xdx_8A2_zeXNNNkwWuYk"/>
      <w:bookmarkEnd w:id="5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2" w:name="xdx_805_ecustom--WarrantsTextBlock_zXXET"/>
      <w:bookmarkEnd w:id="522"/>
      <w:r>
        <w:rPr>
          <w:rFonts w:ascii="Times New Roman;Times;Serif" w:hAnsi="Times New Roman;Times;Serif"/>
          <w:b/>
          <w:i w:val="false"/>
          <w:caps w:val="false"/>
          <w:smallCaps w:val="false"/>
          <w:sz w:val="20"/>
        </w:rPr>
        <w:t xml:space="preserve">Note 10. </w:t>
      </w:r>
      <w:bookmarkStart w:id="523" w:name="xdx_827_zyJhd3bUaiZ"/>
      <w:bookmarkEnd w:id="523"/>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4" w:name="xdx_893_eus-gaap--ScheduleOfStockholders"/>
      <w:bookmarkEnd w:id="524"/>
      <w:r>
        <w:rPr>
          <w:rFonts w:ascii="Times New Roman;Times;Serif" w:hAnsi="Times New Roman;Times;Serif"/>
          <w:b w:val="false"/>
          <w:i w:val="false"/>
          <w:caps w:val="false"/>
          <w:smallCaps w:val="false"/>
          <w:sz w:val="20"/>
        </w:rPr>
        <w:t>Following is a summary of all warrant activity for the six-month period ended June 30, 2026:</w:t>
      </w:r>
    </w:p>
    <w:p>
      <w:pPr>
        <w:pStyle w:val="TextBody"/>
        <w:bidi w:val="0"/>
        <w:spacing w:before="0" w:after="0"/>
        <w:ind w:left="0" w:right="0" w:hanging="0"/>
        <w:jc w:val="both"/>
        <w:rPr>
          <w:caps w:val="false"/>
          <w:smallCaps w:val="false"/>
        </w:rPr>
      </w:pPr>
      <w:r>
        <w:rPr>
          <w:caps w:val="false"/>
          <w:smallCaps w:val="false"/>
        </w:rPr>
        <w:t> </w:t>
      </w:r>
      <w:bookmarkStart w:id="525" w:name="xdx_8B3_zfjTmVaZvh87"/>
      <w:bookmarkEnd w:id="525"/>
      <w:r>
        <w:rPr>
          <w:rFonts w:ascii="Times New Roman;Times;Serif" w:hAnsi="Times New Roman;Times;Serif"/>
          <w:b w:val="false"/>
          <w:i w:val="false"/>
          <w:caps w:val="false"/>
          <w:smallCaps w:val="false"/>
          <w:sz w:val="20"/>
        </w:rPr>
        <w:t>Summary of Warrant Activity</w:t>
      </w:r>
    </w:p>
    <w:tbl>
      <w:tblPr>
        <w:tblW w:w="10205" w:type="dxa"/>
        <w:jc w:val="left"/>
        <w:tblInd w:w="0" w:type="dxa"/>
        <w:tblLayout w:type="fixed"/>
        <w:tblCellMar>
          <w:top w:w="0" w:type="dxa"/>
          <w:left w:w="0" w:type="dxa"/>
          <w:bottom w:w="28" w:type="dxa"/>
          <w:right w:w="0" w:type="dxa"/>
        </w:tblCellMar>
      </w:tblPr>
      <w:tblGrid>
        <w:gridCol w:w="6926"/>
        <w:gridCol w:w="60"/>
        <w:gridCol w:w="79"/>
        <w:gridCol w:w="1328"/>
        <w:gridCol w:w="95"/>
        <w:gridCol w:w="60"/>
        <w:gridCol w:w="267"/>
        <w:gridCol w:w="1313"/>
        <w:gridCol w:w="77"/>
      </w:tblGrid>
      <w:tr>
        <w:trPr/>
        <w:tc>
          <w:tcPr>
            <w:tcW w:w="6926"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7" w:type="dxa"/>
            <w:tcBorders/>
            <w:tcMar>
              <w:bottom w:w="0" w:type="dxa"/>
            </w:tcMar>
            <w:vAlign w:val="center"/>
          </w:tcPr>
          <w:p>
            <w:pPr>
              <w:pStyle w:val="TableContents"/>
              <w:bidi w:val="0"/>
              <w:spacing w:before="0" w:after="283"/>
              <w:jc w:val="left"/>
              <w:rPr/>
            </w:pPr>
            <w:r>
              <w:rPr/>
              <w:t> </w:t>
            </w:r>
          </w:p>
        </w:tc>
      </w:tr>
      <w:tr>
        <w:trPr/>
        <w:tc>
          <w:tcPr>
            <w:tcW w:w="69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692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526" w:name="xdx_982_eus-gaap--ShareBasedCompensation"/>
            <w:bookmarkEnd w:id="526"/>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4,513,475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7" w:name="xdx_98C_ecustom--ShareBasedCompensationA"/>
            <w:bookmarkEnd w:id="527"/>
          </w:p>
        </w:tc>
        <w:tc>
          <w:tcPr>
            <w:tcW w:w="13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6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692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exercised during the six months ended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8" w:space="0" w:color="000000"/>
            </w:tcBorders>
            <w:shd w:fill="CCEEFF" w:val="clear"/>
            <w:vAlign w:val="center"/>
          </w:tcPr>
          <w:p>
            <w:pPr>
              <w:pStyle w:val="TableContents"/>
              <w:bidi w:val="0"/>
              <w:spacing w:before="0" w:after="283"/>
              <w:jc w:val="left"/>
              <w:rPr/>
            </w:pPr>
            <w:r>
              <w:rPr/>
              <w:t> </w:t>
            </w:r>
            <w:bookmarkStart w:id="528" w:name="xdx_981_ecustom--StockIssuedDuringPeriod"/>
            <w:bookmarkEnd w:id="528"/>
          </w:p>
        </w:tc>
        <w:tc>
          <w:tcPr>
            <w:tcW w:w="132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(636,114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bookmarkStart w:id="529" w:name="xdx_985_ecustom--ShareBasedCompensationA"/>
            <w:bookmarkEnd w:id="529"/>
          </w:p>
        </w:tc>
        <w:tc>
          <w:tcPr>
            <w:tcW w:w="131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6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692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double" w:sz="6" w:space="0" w:color="000000"/>
            </w:tcBorders>
            <w:shd w:fill="CCEEFF" w:val="clear"/>
            <w:vAlign w:val="center"/>
          </w:tcPr>
          <w:p>
            <w:pPr>
              <w:pStyle w:val="TableContents"/>
              <w:bidi w:val="0"/>
              <w:spacing w:before="0" w:after="283"/>
              <w:jc w:val="left"/>
              <w:rPr/>
            </w:pPr>
            <w:r>
              <w:rPr/>
              <w:t> </w:t>
            </w:r>
            <w:bookmarkStart w:id="530" w:name="xdx_983_eus-gaap--ShareBasedCompensation"/>
            <w:bookmarkEnd w:id="530"/>
          </w:p>
        </w:tc>
        <w:tc>
          <w:tcPr>
            <w:tcW w:w="132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3,877,361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1" w:name="xdx_980_ecustom--ShareBasedCompensationA"/>
            <w:bookmarkEnd w:id="531"/>
          </w:p>
        </w:tc>
        <w:tc>
          <w:tcPr>
            <w:tcW w:w="131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69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692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contractual terms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532" w:name="xdx_902_ecustom--SharebasedCompensationA"/>
            <w:bookmarkEnd w:id="532"/>
            <w:r>
              <w:rPr>
                <w:rFonts w:ascii="Times New Roman;Times;Serif" w:hAnsi="Times New Roman;Times;Serif"/>
                <w:sz w:val="20"/>
              </w:rPr>
              <w:t>3.7 years (a)</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33" w:name="xdx_F0C_zVUe9DjS9Ned"/>
            <w:bookmarkEnd w:id="533"/>
            <w:r>
              <w:rPr>
                <w:rFonts w:ascii="Times New Roman;Times;Serif" w:hAnsi="Times New Roman;Times;Serif"/>
                <w:b w:val="false"/>
                <w:i w:val="false"/>
                <w:caps w:val="false"/>
                <w:smallCaps w:val="false"/>
                <w:sz w:val="20"/>
              </w:rPr>
              <w:t>(a)</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4" w:name="xdx_F19_z0SNHe6NiKI4"/>
            <w:bookmarkEnd w:id="534"/>
            <w:r>
              <w:rPr>
                <w:rFonts w:ascii="Times New Roman;Times;Serif" w:hAnsi="Times New Roman;Times;Serif"/>
                <w:b w:val="false"/>
                <w:i w:val="false"/>
                <w:caps w:val="false"/>
                <w:smallCaps w:val="false"/>
                <w:sz w:val="20"/>
              </w:rPr>
              <w:t xml:space="preserve">Remaining life excludes </w:t>
            </w:r>
            <w:bookmarkStart w:id="535" w:name="xdx_909_eus-gaap--ClassOfWarrantOrRightO"/>
            <w:bookmarkEnd w:id="535"/>
            <w:r>
              <w:rPr>
                <w:rFonts w:ascii="Times New Roman;Times;Serif" w:hAnsi="Times New Roman;Times;Serif"/>
                <w:b w:val="false"/>
                <w:i w:val="false"/>
                <w:caps w:val="false"/>
                <w:smallCaps w:val="false"/>
                <w:sz w:val="20"/>
              </w:rPr>
              <w:t xml:space="preserve">973,000 prefunded warrants from the December 2025 Offering which do not have an expiration date. </w:t>
            </w:r>
          </w:p>
        </w:tc>
      </w:tr>
    </w:tbl>
    <w:p>
      <w:pPr>
        <w:pStyle w:val="TextBody"/>
        <w:bidi w:val="0"/>
        <w:spacing w:before="0" w:after="0"/>
        <w:ind w:left="0" w:right="0" w:hanging="0"/>
        <w:jc w:val="both"/>
        <w:rPr>
          <w:caps w:val="false"/>
          <w:smallCaps w:val="false"/>
        </w:rPr>
      </w:pPr>
      <w:bookmarkStart w:id="536" w:name="xdx_8AA_z2xSTGFnmSha"/>
      <w:bookmarkEnd w:id="53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7" w:name="xdx_808_eus-gaap--LesseeOperatingLeasesT"/>
      <w:bookmarkEnd w:id="537"/>
      <w:r>
        <w:rPr>
          <w:rFonts w:ascii="Times New Roman;Times;Serif" w:hAnsi="Times New Roman;Times;Serif"/>
          <w:b/>
          <w:i w:val="false"/>
          <w:caps w:val="false"/>
          <w:smallCaps w:val="false"/>
          <w:sz w:val="20"/>
        </w:rPr>
        <w:t xml:space="preserve">Note 11. </w:t>
      </w:r>
      <w:bookmarkStart w:id="538" w:name="xdx_827_zpsP8k6xoJs1"/>
      <w:bookmarkEnd w:id="538"/>
      <w:r>
        <w:rPr>
          <w:rFonts w:ascii="Times New Roman;Times;Serif" w:hAnsi="Times New Roman;Times;Serif"/>
          <w:b/>
          <w:i w:val="false"/>
          <w:caps w:val="false"/>
          <w:smallCaps w:val="false"/>
          <w:sz w:val="20"/>
        </w:rPr>
        <w:t xml:space="preserve">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Lawrenceville, New Jersey Lease</w:t>
      </w:r>
      <w:r>
        <w:rPr>
          <w:rFonts w:ascii="Times New Roman;Times;Serif" w:hAnsi="Times New Roman;Times;Serif"/>
          <w:b w:val="false"/>
          <w:i w:val="false"/>
          <w:caps w:val="false"/>
          <w:smallCaps w:val="false"/>
          <w:sz w:val="20"/>
        </w:rPr>
        <w:t xml:space="preserve"> - In August 2023, the Company renewed its Lawrenceville office lease for a </w:t>
      </w:r>
      <w:bookmarkStart w:id="539" w:name="xdx_902_eus-gaap--LesseeOperatingLeaseTe"/>
      <w:bookmarkEnd w:id="539"/>
      <w:r>
        <w:rPr>
          <w:rFonts w:ascii="Times New Roman;Times;Serif" w:hAnsi="Times New Roman;Times;Serif"/>
          <w:b w:val="false"/>
          <w:i w:val="false"/>
          <w:caps w:val="false"/>
          <w:smallCaps w:val="false"/>
          <w:sz w:val="20"/>
        </w:rPr>
        <w:t xml:space="preserve">24-month agreement for </w:t>
      </w:r>
      <w:bookmarkStart w:id="540" w:name="xdx_90E_eus-gaap--AreaOfLand_iI_pp0p0_us"/>
      <w:bookmarkEnd w:id="540"/>
      <w:r>
        <w:rPr>
          <w:rFonts w:ascii="Times New Roman;Times;Serif" w:hAnsi="Times New Roman;Times;Serif"/>
          <w:b w:val="false"/>
          <w:i w:val="false"/>
          <w:caps w:val="false"/>
          <w:smallCaps w:val="false"/>
          <w:sz w:val="20"/>
        </w:rPr>
        <w:t>9,850 square feet with monthly rent payments of approximately $</w:t>
      </w:r>
      <w:bookmarkStart w:id="541" w:name="xdx_900_eus-gaap--PaymentsForRent_pp0p0_"/>
      <w:bookmarkEnd w:id="541"/>
      <w:r>
        <w:rPr>
          <w:rFonts w:ascii="Times New Roman;Times;Serif" w:hAnsi="Times New Roman;Times;Serif"/>
          <w:b w:val="false"/>
          <w:i w:val="false"/>
          <w:caps w:val="false"/>
          <w:smallCaps w:val="false"/>
          <w:sz w:val="20"/>
        </w:rPr>
        <w:t>22,983 to $</w:t>
      </w:r>
      <w:bookmarkStart w:id="542" w:name="xdx_90C_eus-gaap--PaymentsForRent_pp0p0_"/>
      <w:bookmarkEnd w:id="542"/>
      <w:r>
        <w:rPr>
          <w:rFonts w:ascii="Times New Roman;Times;Serif" w:hAnsi="Times New Roman;Times;Serif"/>
          <w:b w:val="false"/>
          <w:i w:val="false"/>
          <w:caps w:val="false"/>
          <w:smallCaps w:val="false"/>
          <w:sz w:val="20"/>
        </w:rPr>
        <w:t xml:space="preserve">23,394. In April 2025, the Company renewed its Lawrenceville office lease until November 30, 2028 for </w:t>
      </w:r>
      <w:bookmarkStart w:id="543" w:name="xdx_90A_eus-gaap--AreaOfLand_iI_pp0p0_us"/>
      <w:bookmarkEnd w:id="543"/>
      <w:r>
        <w:rPr>
          <w:rFonts w:ascii="Times New Roman;Times;Serif" w:hAnsi="Times New Roman;Times;Serif"/>
          <w:b w:val="false"/>
          <w:i w:val="false"/>
          <w:caps w:val="false"/>
          <w:smallCaps w:val="false"/>
          <w:sz w:val="20"/>
        </w:rPr>
        <w:t xml:space="preserve">4,359 square feet (to be reduced to </w:t>
      </w:r>
      <w:bookmarkStart w:id="544" w:name="xdx_909_eus-gaap--AreaOfLand_iI_pp0p0_us"/>
      <w:bookmarkEnd w:id="544"/>
      <w:r>
        <w:rPr>
          <w:rFonts w:ascii="Times New Roman;Times;Serif" w:hAnsi="Times New Roman;Times;Serif"/>
          <w:b w:val="false"/>
          <w:i w:val="false"/>
          <w:caps w:val="false"/>
          <w:smallCaps w:val="false"/>
          <w:sz w:val="20"/>
        </w:rPr>
        <w:t>4,011 following April 1, 2026) with monthly rent payments of approximately $</w:t>
      </w:r>
      <w:bookmarkStart w:id="545" w:name="xdx_906_eus-gaap--PaymentsForRent_pp0p0_"/>
      <w:bookmarkEnd w:id="545"/>
      <w:r>
        <w:rPr>
          <w:rFonts w:ascii="Times New Roman;Times;Serif" w:hAnsi="Times New Roman;Times;Serif"/>
          <w:b w:val="false"/>
          <w:i w:val="false"/>
          <w:caps w:val="false"/>
          <w:smallCaps w:val="false"/>
          <w:sz w:val="20"/>
        </w:rPr>
        <w:t>10,361 to $</w:t>
      </w:r>
      <w:bookmarkStart w:id="546" w:name="xdx_904_eus-gaap--PaymentsForRent_pp0p0_"/>
      <w:bookmarkEnd w:id="546"/>
      <w:r>
        <w:rPr>
          <w:rFonts w:ascii="Times New Roman;Times;Serif" w:hAnsi="Times New Roman;Times;Serif"/>
          <w:b w:val="false"/>
          <w:i w:val="false"/>
          <w:caps w:val="false"/>
          <w:smallCaps w:val="false"/>
          <w:sz w:val="20"/>
        </w:rPr>
        <w:t>10,863.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Huntsville, Alabama Lease</w:t>
      </w:r>
      <w:r>
        <w:rPr>
          <w:rFonts w:ascii="Times New Roman;Times;Serif" w:hAnsi="Times New Roman;Times;Serif"/>
          <w:b w:val="false"/>
          <w:i w:val="false"/>
          <w:caps w:val="false"/>
          <w:smallCaps w:val="false"/>
          <w:sz w:val="20"/>
        </w:rPr>
        <w:t xml:space="preserve"> - In January 2023, the Company renewed its Huntsville facility lease for a </w:t>
      </w:r>
      <w:bookmarkStart w:id="547" w:name="xdx_908_eus-gaap--LesseeOperatingLeaseTe"/>
      <w:bookmarkEnd w:id="547"/>
      <w:r>
        <w:rPr>
          <w:rFonts w:ascii="Times New Roman;Times;Serif" w:hAnsi="Times New Roman;Times;Serif"/>
          <w:b w:val="false"/>
          <w:i w:val="false"/>
          <w:caps w:val="false"/>
          <w:smallCaps w:val="false"/>
          <w:sz w:val="20"/>
        </w:rPr>
        <w:t xml:space="preserve">60-month lease agreement for </w:t>
      </w:r>
      <w:bookmarkStart w:id="548" w:name="xdx_905_eus-gaap--AreaOfLand_iI_pp0p0_us"/>
      <w:bookmarkEnd w:id="548"/>
      <w:r>
        <w:rPr>
          <w:rFonts w:ascii="Times New Roman;Times;Serif" w:hAnsi="Times New Roman;Times;Serif"/>
          <w:b w:val="false"/>
          <w:i w:val="false"/>
          <w:caps w:val="false"/>
          <w:smallCaps w:val="false"/>
          <w:sz w:val="20"/>
        </w:rPr>
        <w:t>11,420 square feet with monthly rent payments of approximately $</w:t>
      </w:r>
      <w:bookmarkStart w:id="549" w:name="xdx_90B_eus-gaap--PaymentsForRent_pp0p0_"/>
      <w:bookmarkEnd w:id="549"/>
      <w:r>
        <w:rPr>
          <w:rFonts w:ascii="Times New Roman;Times;Serif" w:hAnsi="Times New Roman;Times;Serif"/>
          <w:b w:val="false"/>
          <w:i w:val="false"/>
          <w:caps w:val="false"/>
          <w:smallCaps w:val="false"/>
          <w:sz w:val="20"/>
        </w:rPr>
        <w:t>28,550 to $</w:t>
      </w:r>
      <w:bookmarkStart w:id="550" w:name="xdx_90D_eus-gaap--PaymentsForRent_pp0p0_"/>
      <w:bookmarkEnd w:id="550"/>
      <w:r>
        <w:rPr>
          <w:rFonts w:ascii="Times New Roman;Times;Serif" w:hAnsi="Times New Roman;Times;Serif"/>
          <w:b w:val="false"/>
          <w:i w:val="false"/>
          <w:caps w:val="false"/>
          <w:smallCaps w:val="false"/>
          <w:sz w:val="20"/>
        </w:rPr>
        <w:t>30,903.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1" w:name="xdx_899_eus-gaap--LesseeOperatingLeaseLi"/>
      <w:bookmarkEnd w:id="551"/>
      <w:r>
        <w:rPr>
          <w:rFonts w:ascii="Times New Roman;Times;Serif" w:hAnsi="Times New Roman;Times;Serif"/>
          <w:b w:val="false"/>
          <w:i w:val="false"/>
          <w:caps w:val="false"/>
          <w:smallCaps w:val="false"/>
          <w:sz w:val="20"/>
        </w:rPr>
        <w:t>The following is a table of the lease payments and maturity of the Company’s operating lease liabilities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2" w:name="xdx_8BA_zkIUS12NlYa"/>
      <w:bookmarkEnd w:id="552"/>
      <w:r>
        <w:rPr>
          <w:rFonts w:ascii="Times New Roman;Times;Serif" w:hAnsi="Times New Roman;Times;Serif"/>
          <w:b w:val="false"/>
          <w:i w:val="false"/>
          <w:caps w:val="false"/>
          <w:smallCaps w:val="false"/>
          <w:sz w:val="20"/>
        </w:rPr>
        <w:t>Schedule of Lease Payments and Maturity of Operating Lease Liabilities</w:t>
      </w:r>
    </w:p>
    <w:tbl>
      <w:tblPr>
        <w:tblW w:w="4340" w:type="dxa"/>
        <w:jc w:val="left"/>
        <w:tblInd w:w="0" w:type="dxa"/>
        <w:tblLayout w:type="fixed"/>
        <w:tblCellMar>
          <w:top w:w="0" w:type="dxa"/>
          <w:left w:w="0" w:type="dxa"/>
          <w:bottom w:w="0" w:type="dxa"/>
          <w:right w:w="0" w:type="dxa"/>
        </w:tblCellMar>
      </w:tblPr>
      <w:tblGrid>
        <w:gridCol w:w="3110"/>
        <w:gridCol w:w="60"/>
        <w:gridCol w:w="140"/>
        <w:gridCol w:w="800"/>
        <w:gridCol w:w="23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3" w:name="xdx_499_20260630_zg3adhSyWwJc"/>
            <w:bookmarkEnd w:id="553"/>
          </w:p>
        </w:tc>
        <w:tc>
          <w:tcPr>
            <w:tcW w:w="94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bookmarkStart w:id="554" w:name="xdx_40B_eus-gaap--LesseeOperatingLeaseLi"/>
            <w:bookmarkEnd w:id="554"/>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244,958</w:t>
            </w:r>
          </w:p>
        </w:tc>
        <w:tc>
          <w:tcPr>
            <w:tcW w:w="230" w:type="dxa"/>
            <w:tcBorders/>
            <w:shd w:fill="CCEEFF" w:val="clear"/>
            <w:vAlign w:val="center"/>
          </w:tcPr>
          <w:p>
            <w:pPr>
              <w:pStyle w:val="TableContents"/>
              <w:bidi w:val="0"/>
              <w:spacing w:before="0" w:after="283"/>
              <w:jc w:val="left"/>
              <w:rPr/>
            </w:pPr>
            <w:r>
              <w:rPr/>
              <w:t> </w:t>
            </w:r>
            <w:bookmarkStart w:id="555" w:name="xdx_40A_eus-gaap--LesseeOperatingLeaseLi"/>
            <w:bookmarkEnd w:id="555"/>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498,086</w:t>
            </w:r>
          </w:p>
        </w:tc>
        <w:tc>
          <w:tcPr>
            <w:tcW w:w="230" w:type="dxa"/>
            <w:tcBorders/>
            <w:shd w:fill="FFFFFF" w:val="clear"/>
            <w:vAlign w:val="center"/>
          </w:tcPr>
          <w:p>
            <w:pPr>
              <w:pStyle w:val="TableContents"/>
              <w:bidi w:val="0"/>
              <w:spacing w:before="0" w:after="283"/>
              <w:jc w:val="left"/>
              <w:rPr/>
            </w:pPr>
            <w:r>
              <w:rPr/>
              <w:t> </w:t>
            </w:r>
            <w:bookmarkStart w:id="556" w:name="xdx_407_eus-gaap--LesseeOperatingLeaseLi"/>
            <w:bookmarkEnd w:id="556"/>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149,896</w:t>
            </w:r>
          </w:p>
        </w:tc>
        <w:tc>
          <w:tcPr>
            <w:tcW w:w="230" w:type="dxa"/>
            <w:tcBorders/>
            <w:shd w:fill="CCEEFF" w:val="clear"/>
            <w:vAlign w:val="center"/>
          </w:tcPr>
          <w:p>
            <w:pPr>
              <w:pStyle w:val="TableContents"/>
              <w:bidi w:val="0"/>
              <w:spacing w:before="0" w:after="283"/>
              <w:jc w:val="left"/>
              <w:rPr/>
            </w:pPr>
            <w:r>
              <w:rPr/>
              <w:t> </w:t>
            </w:r>
            <w:bookmarkStart w:id="557" w:name="xdx_404_ecustom--LesseeOperatingLeaseLia"/>
            <w:bookmarkEnd w:id="557"/>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 and 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FFFFFF" w:val="clear"/>
            <w:vAlign w:val="center"/>
          </w:tcPr>
          <w:p>
            <w:pPr>
              <w:pStyle w:val="TableContents"/>
              <w:bidi w:val="0"/>
              <w:spacing w:before="0" w:after="283"/>
              <w:jc w:val="left"/>
              <w:rPr/>
            </w:pPr>
            <w:r>
              <w:rPr/>
              <w:t> </w:t>
            </w:r>
            <w:bookmarkStart w:id="558" w:name="xdx_40D_eus-gaap--LesseeOperatingLeaseLi"/>
            <w:bookmarkEnd w:id="558"/>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892,940</w:t>
            </w:r>
          </w:p>
        </w:tc>
        <w:tc>
          <w:tcPr>
            <w:tcW w:w="230" w:type="dxa"/>
            <w:tcBorders/>
            <w:shd w:fill="CCEEFF" w:val="clear"/>
            <w:vAlign w:val="center"/>
          </w:tcPr>
          <w:p>
            <w:pPr>
              <w:pStyle w:val="TableContents"/>
              <w:bidi w:val="0"/>
              <w:spacing w:before="0" w:after="283"/>
              <w:jc w:val="left"/>
              <w:rPr/>
            </w:pPr>
            <w:r>
              <w:rPr/>
              <w:t> </w:t>
            </w:r>
            <w:bookmarkStart w:id="559" w:name="xdx_40A_eus-gaap--LesseeOperatingLeaseLi"/>
            <w:bookmarkEnd w:id="559"/>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(81,750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0" w:name="xdx_400_eus-gaap--OperatingLeaseLiabilit"/>
            <w:bookmarkEnd w:id="560"/>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811,190</w:t>
            </w:r>
          </w:p>
        </w:tc>
        <w:tc>
          <w:tcPr>
            <w:tcW w:w="23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life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bookmarkStart w:id="561" w:name="xdx_905_eus-gaap--OperatingLeaseWeighted"/>
            <w:bookmarkEnd w:id="561"/>
            <w:r>
              <w:rPr>
                <w:rFonts w:ascii="Times New Roman;Times;Serif" w:hAnsi="Times New Roman;Times;Serif"/>
                <w:sz w:val="20"/>
              </w:rPr>
              <w:t>1.9 years</w:t>
            </w:r>
          </w:p>
        </w:tc>
        <w:tc>
          <w:tcPr>
            <w:tcW w:w="23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2" w:name="xdx_98C_eus-gaap--OperatingLeaseWeighted"/>
            <w:bookmarkEnd w:id="562"/>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563" w:name="xdx_8AE_zNsQKokjgH1k"/>
      <w:bookmarkEnd w:id="563"/>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 period ended June 30, 2026, operating lease expense was $</w:t>
      </w:r>
      <w:bookmarkStart w:id="564" w:name="xdx_900_eus-gaap--OperatingLeaseCost_pp0"/>
      <w:bookmarkEnd w:id="564"/>
      <w:r>
        <w:rPr>
          <w:rFonts w:ascii="Times New Roman;Times;Serif" w:hAnsi="Times New Roman;Times;Serif"/>
          <w:b w:val="false"/>
          <w:i w:val="false"/>
          <w:caps w:val="false"/>
          <w:smallCaps w:val="false"/>
          <w:sz w:val="20"/>
        </w:rPr>
        <w:t>241,830 and cash paid for operating leases included in operating cash flows was $</w:t>
      </w:r>
      <w:bookmarkStart w:id="565" w:name="xdx_90E_eus-gaap--OperatingLeasePayments"/>
      <w:bookmarkEnd w:id="565"/>
      <w:r>
        <w:rPr>
          <w:rFonts w:ascii="Times New Roman;Times;Serif" w:hAnsi="Times New Roman;Times;Serif"/>
          <w:b w:val="false"/>
          <w:i w:val="false"/>
          <w:caps w:val="false"/>
          <w:smallCaps w:val="false"/>
          <w:sz w:val="20"/>
        </w:rPr>
        <w:t>243,863. For the six-month period ended June 30, 2025, operating lease expense was $</w:t>
      </w:r>
      <w:bookmarkStart w:id="566" w:name="xdx_90C_eus-gaap--OperatingLeaseCost_pp0"/>
      <w:bookmarkEnd w:id="566"/>
      <w:r>
        <w:rPr>
          <w:rFonts w:ascii="Times New Roman;Times;Serif" w:hAnsi="Times New Roman;Times;Serif"/>
          <w:b w:val="false"/>
          <w:i w:val="false"/>
          <w:caps w:val="false"/>
          <w:smallCaps w:val="false"/>
          <w:sz w:val="20"/>
        </w:rPr>
        <w:t>283,813 and cash paid for operating leases included in operating cash flows was $</w:t>
      </w:r>
      <w:bookmarkStart w:id="567" w:name="xdx_90B_eus-gaap--OperatingLeasePayments"/>
      <w:bookmarkEnd w:id="567"/>
      <w:r>
        <w:rPr>
          <w:rFonts w:ascii="Times New Roman;Times;Serif" w:hAnsi="Times New Roman;Times;Serif"/>
          <w:b w:val="false"/>
          <w:i w:val="false"/>
          <w:caps w:val="false"/>
          <w:smallCaps w:val="false"/>
          <w:sz w:val="20"/>
        </w:rPr>
        <w:t>283,083.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8" w:name="xdx_801_eus-gaap--CommitmentsAndContinge"/>
      <w:bookmarkEnd w:id="568"/>
      <w:r>
        <w:rPr>
          <w:rFonts w:ascii="Times New Roman;Times;Serif" w:hAnsi="Times New Roman;Times;Serif"/>
          <w:b/>
          <w:i w:val="false"/>
          <w:caps w:val="false"/>
          <w:smallCaps w:val="false"/>
          <w:sz w:val="20"/>
        </w:rPr>
        <w:t xml:space="preserve">Note 12. </w:t>
      </w:r>
      <w:bookmarkStart w:id="569" w:name="xdx_823_zqfjvx82SPA5"/>
      <w:bookmarkEnd w:id="569"/>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any material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0" w:name="xdx_80B_eus-gaap--SubsequentEventsTextBl"/>
      <w:bookmarkEnd w:id="570"/>
      <w:r>
        <w:rPr>
          <w:rFonts w:ascii="Times New Roman;Times;Serif" w:hAnsi="Times New Roman;Times;Serif"/>
          <w:b/>
          <w:i w:val="false"/>
          <w:caps w:val="false"/>
          <w:smallCaps w:val="false"/>
          <w:sz w:val="20"/>
        </w:rPr>
        <w:t xml:space="preserve">Note 13. </w:t>
      </w:r>
      <w:bookmarkStart w:id="571" w:name="xdx_828_zzRg9yPRJ1Bf"/>
      <w:bookmarkEnd w:id="571"/>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subsequent events from June 30, 2026 and through the date these condensed consolidated financial statements were issued, determining all subsequent events have been disclosed. Also, subsequent to June 30, 2026 and made effective as of June 2, 2026, the Company and the Investor amended the B Note to remove its limited redemption feature, and the Investor entered into an irrevocable waiver of the redemption right associated with the Series A Preferred Stock. These are recognized subsequent events that are reflected in the accompanying condensed consolidated financial statements. See Note 7 for further information.</w:t>
      </w:r>
    </w:p>
    <w:p>
      <w:pPr>
        <w:pStyle w:val="TextBody"/>
        <w:bidi w:val="0"/>
        <w:spacing w:before="0" w:after="0"/>
        <w:jc w:val="center"/>
        <w:rPr>
          <w:caps w:val="false"/>
          <w:smallCaps w:val="false"/>
        </w:rPr>
      </w:pPr>
      <w:bookmarkStart w:id="572" w:name="xdx_819_zZ9kp3wLgvZk"/>
      <w:bookmarkEnd w:id="57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3" w:name="a_010"/>
      <w:bookmarkStart w:id="574" w:name="SS_014"/>
      <w:bookmarkEnd w:id="573"/>
      <w:bookmarkEnd w:id="57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Imunon’s technology platform is optimized for the delivery of DNA and mRNA therapeutics via synthetic non-viral carriers and facilitates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THERAPLAS MODALITY:IMNN-001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Ovarian Cancer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 is one of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with an estimated 13,000 deaths. There are approximately 300.000 new cases of ovarian cancer world-wide. Mortality rates for ovarian cancer has declined very little in the last 40 years due to the lack of early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major need for a therapy that not only reduces the recurrence rate but also meaningfully improves overall survival.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an increased understanding of tumor genetics, practice has shifted to include targeted agents in ovarian cancer treatment. Ten to 15% of ovarian cancer cases nationwide are a result of germline or somatic BRCA mutations, and up to 40-50% of ovarian cancers have BRCA mutations, or other mutations which also inhibit DNA repair.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maintenance options in ovarian cancer, but no new frontline maintenance treatment options which improve survival are available for women who are not eligible to receive PARP inhibitors.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Immunotherapy is an attractive, novel approach for the treatment of ovarian cancer particularly since ovarian cancers are considered potentially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clinical and preclinical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IMNN-001 Immunotherapy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and our demonstrated ability to safely deliver repeated doses could create a potent anti-tumor immune environment that is synergistic with concomitant use of cytotoxic chemotherapy, resulting in a more robust and durable antitumor response than chemotherapy alone. We believe the rationale for local therapy with IMNN-001 is based 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Loco-regional production of the potent cytokine IL-12 avoids toxicities and poor pharmacokinetics associated with systemic delivery of recombinant IL-12;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Persistent local delivery of IL-12 lasts up to one week and dosing can be safely repeated weekly;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therapy is ideal for long-term therapy.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OVATION 1 Study</w:t>
      </w:r>
      <w:r>
        <w:rPr>
          <w:rFonts w:ascii="Times New Roman;Times;Serif" w:hAnsi="Times New Roman;Times;Serif"/>
          <w:b w:val="false"/>
          <w:i w:val="false"/>
          <w:caps w:val="false"/>
          <w:smallCaps w:val="false"/>
          <w:sz w:val="20"/>
        </w:rPr>
        <w:t>. In February 2015, we announced that the FDA accepted the Phase I dose-escalation clinical trial of IMNN-001 in combination with the standard of care in neoadjuvant ovarian cancer (the “OVATION 1 Study”). The OVATION 1 Study was designed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 tolerable and therapeutically active dose of IMNN-001 within certain safety parameters by recruiting and maximizing an immune response;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 three to six patients per dose level and evaluate safety and efficacy;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attempt to define an optimal dose for a follow-on Phase I/II study.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Infiltration of cancer fighting T-cell lymphocytes into primary tumor and tumor microenvironment including peritoneal cavity, which is the primary site of metastasis of ovarian cancer;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and systemic levels of immuno-stimulatory and immune-suppressive cytokines associated with tumor suppression and growth, respectively;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Expression profile of a comprehensive panel of immune related genes in pre-treatment and IMNN-001-treated tumor tissue.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2016 and 2017, we announced data from the first 14 patients in the OVATION 1 Study. On October 3, 2017, we announced final translational research and clinical data from the OVATION 1 Study.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translational research findings from all evaluable patients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previous partial reports, the effects observed in the Immunohistochemistry analysis were pronounced decreases in the density of immunosuppressive T-cell signals (Foxp3, PD-1, PDL-1, IDO-1) and increases in CD8+ cells in the tumor microenvironment;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was a leading indicator and believed to be a good predictor of improved OS;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peritoneal fluid by cell sorting, not reported before, showed a treatment-related decrease in the percentage of immunosuppressive T-cell (Foxp3+), which was consistent with the reduction of Foxp3+ T-cells in the primary tumor tissue, and a shift in tumor naïve CD8+ cell population to more efficient tumor killing memory effector CD8+ cells.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patients experienced a clinically significant decrease in their CA-125 protein levels. CA-125 was used to monitor certain cancers during and after treatment. CA-125 was present in greater concentrations in ovarian cancer cells than in other cells.</w:t>
            </w:r>
          </w:p>
        </w:tc>
      </w:tr>
    </w:tbl>
    <w:p>
      <w:pPr>
        <w:pStyle w:val="TextBody"/>
        <w:bidi w:val="0"/>
        <w:spacing w:before="0" w:after="0"/>
        <w:ind w:left="117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2020, the Company announced with Medidata Solutions, a subsidiary of Dassault Systèmes, that examining matched patient data provided by Medidata in a synthetic control arm (“SCA”) with results from the Company’s Phase I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and physician acceptance.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OVATION 2 Study. </w:t>
      </w:r>
      <w:r>
        <w:rPr>
          <w:rFonts w:ascii="Times New Roman;Times;Serif" w:hAnsi="Times New Roman;Times;Serif"/>
          <w:b w:val="false"/>
          <w:i w:val="false"/>
          <w:caps w:val="false"/>
          <w:smallCaps w:val="false"/>
          <w:sz w:val="20"/>
        </w:rPr>
        <w:t>The Company held an Advisory Board Meeting on September 27, 2017 with clinical investigators and scientific experts including 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overall survival, chemotherapy response score, and surgical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undergo IDS, followed by three additional cycles of chemotherapy.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IMNN-001 plus standard-of-care NACT produced positive dose-dependent efficacy results, with no dose-limiting toxicities, which correlate well with successful surgical outcomes as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tc>
      </w:tr>
    </w:tbl>
    <w:p>
      <w:pPr>
        <w:pStyle w:val="TextBody"/>
        <w:bidi w:val="0"/>
        <w:spacing w:before="0" w:after="0"/>
        <w:jc w:val="center"/>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3620"/>
        <w:gridCol w:w="60"/>
        <w:gridCol w:w="560"/>
        <w:gridCol w:w="60"/>
        <w:gridCol w:w="292"/>
        <w:gridCol w:w="1122"/>
        <w:gridCol w:w="200"/>
      </w:tblGrid>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Patients R0 </w:t>
              <w:br/>
              <w:t>Resections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36, 47 mg/m² of IMNN-001 plus NACT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79, 100 mg/m² of IMNN-001 plus NACT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 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ORR as measured by RECIST criteria for the 0, 36, 47 mg/m² dose IMNN-001 patients were comparable, as expected, to the higher (61, 79, 100 mg/m²) dose IMNN-001 patients, with both groups demonstrating an approximate 80% ORR.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announced that it had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of patients treated with IMNN-001 had a R0 resection.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of patients in the control arm had an R0 resection.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data represented a 38% improvement in R0 resection rates for IMNN-001 patients compared with control arm patients and was consistent with the reported improvement in resection scores noted in our Phase I OVATION 1 Study, the manuscript of which was submitted for peer review publication.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 OVATION 2 Study continue treating patients with the dose of 100 mg/m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followed a similar trend, showing an approximate 9-month improvement in the treatment arm over the control 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Subgroup analyses showed patients treated with a PARP inhibitor (“PARPi”) as maintenance therapy had longer PFS and OS if they were also treated with IMNN-001 compared with patients treated with NACT only. The PARPi subgroup was not specified prior to the trial because they were approved after the OVATION 2 Study was initiated. However this subgroup, and others, were pre-specified prior to Database lock and formal analysis.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median PFS in the PARPi + NACT group and the PARPi + NACT + IMNN-001 group was 15.7 months and 23.7 months,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median OS in the PARPi + NACT group was 45.6 months and has not yet been reached in the PARPi + NACT + IMNN-001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2024, the Company announced positive topline results from the Phase I/II OVATION 2 Study. Highlights from patients treated with IMNN-001 plus standard-of-care in a first-line treatment setting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11.1 month increase in median OS compared with standard-of-care alone in the ITT population.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hazard ratio in the ITT population of 0.74, which indicates a 35% improvement in survival.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PFS results, the trial’s primary endpoint, support the OS results with: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three-month improvement in PFS compared with standard-of-care alone.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hazard ratio in the intent-to-treat population of 0.79, indicating a 27% improvement in delaying progression for the IMNN-001 treatment arm.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initial results from the OVATION 2 Study were presented in a late-breaking session at the Society for Immunotherapy of Cancer (SITC) 39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Meeting in November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 II (“EOP2”) meeting with the U.S. Food and Drug Administration focused on the Phase III study. The EOP2 meeting was conducted in the fourth quarter of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announced additional clinical data from ongoing analyses of results from the Phase 2 OVATION 2 Study. The updated results (including a post announcement, immaterial statistical correction), based on an additional seven months of patient monitoring, showed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hazard ratio (HR) decreased from 0.74 to 0.70 in the ITT population, with an increase in median overall survival (OS) from 11.1 to 13 months following treatment with IMNN-001 plus standard-of-care (SoC) neoadjuvant and adjuvant chemotherapy (NACT) versus SoC alone.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one-third of patients in the trial survived more than 36 months from the point of study enrollment, with 62% of those surviving patients from the IMNN-001 treatment arm and 38% from the SoC arm. Over 10% of trial participants have reached 48 months or beyond.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announced positive data from the Company’s Phase 2 OVATION 2 Study showing that treatment with IMNN-001 in women with newly diagnosed advanced ovarian cancer resulted in consistent, clinically meaningful improvements in several key endpoints across treatment groups, including overall survival (OS), progression-free survival (PFS), chemotherapy response score and surgical response. Treatment with IMNN-001 also showed a favorable safety profile, with no reports of serious immune-related adverse events. The full results were presented in an oral presentation at the 2025 American Society of Clinical Oncology (ASCO) Annual Meeting in Chicago, Illinois, and simultaneously published in the peer-reviewed journal Gynecologic Oncology. The data presented highlighted the following results achieved across all treatment groups: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13-month increase in OS and median 3-month increase in PFS in IMNN-001 treatment arm compared to standard of care alone.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 therapeutic effect observed with IMNN-001 treatment compared to the control arm (p=0.0375), as shown by mean 6.5-month extension of time free of progression or death (PFS + OS) captured in totality of treatment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poly ADP-ribose polymerase (PARP) inhibitors as part of maintenance therapy further enhanced outcomes, with median OS not yet reached in IMNN-001 treatment arm after &gt;5 years compared to 37 months on standard of care.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Chemotherapy response score highlights double the response rate of a complete or near complete histopathological response following treatment with 26.1% in the IMNN-001 treatment arm compared to 13.0% in the control arm.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Surgical response rate of no macroscopic residual tumor left after surgery 64.6% in the IMNN-001 treatment arm compared to 52.1% in the control arm.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Hazard ratio of 0.78 in study participants who are homologous recombination proficient (HRP) and hazard ratio of 0.42 in women positive for homologous recombination deficiency (HRD+), including BRCA1 or BRCA2 mutations, suggesting increased therapeutic activity.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IMNN-001 was generally safe and well tolerated, with no reports of cytokine release syndrome, systemic toxicity or serious immune-related adverse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presented positive translational data from the OVATION 2 Study of IMNN-001 at the ESMO Gynecological Cancers Congress 2025, that took place on June 19-21, 2025, in Vienna, Austria. Results presented at the ESMO Congress showed that treatment with IMNN-001 induced substantial increases in IL-12 and interferon-gamma (IFN-γ) and tumor necrosis factor-alpha (TNF-α), key downstream anti-cancer immune cytokines. Increases in IL-12, IFN-γ and TNF-α levels in the peritoneal cavity were approximately 27-, 62- and 36-fold following treatment, respectively, demonstrating the tumor-localized effect of IMNN-001 in women with advanced ovarian cancer. IMNN-001 continues to show a favorable safety profile.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Company presented additional positive translational data from the OVATION 2 Study at the American Association for Cancer Research (AACR) Special Conference in Cancer Research: </w:t>
      </w:r>
      <w:r>
        <w:rPr>
          <w:rFonts w:ascii="Times New Roman;Times;Serif" w:hAnsi="Times New Roman;Times;Serif"/>
          <w:b w:val="false"/>
          <w:i/>
          <w:caps w:val="false"/>
          <w:smallCaps w:val="false"/>
          <w:sz w:val="20"/>
        </w:rPr>
        <w:t>Advances in Ovarian Cancer Research</w:t>
      </w:r>
      <w:r>
        <w:rPr>
          <w:rFonts w:ascii="Times New Roman;Times;Serif" w:hAnsi="Times New Roman;Times;Serif"/>
          <w:b w:val="false"/>
          <w:i w:val="false"/>
          <w:caps w:val="false"/>
          <w:smallCaps w:val="false"/>
          <w:sz w:val="20"/>
        </w:rPr>
        <w:t xml:space="preserve"> reinforcing the favorable safety profile and efficacy benefits of IMNN-001 observed in the clinic, including increases in key anti-cancer immune cytokines and modulation of relevant anti-tumor immune cell populations, such as CD8+ T cells and myeloid dendritic cells, in the tumor and tumor microenvironment in study participants post-treatment. Results presented at the AACR Special Conference demonstrated: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shift in the local TME to favorable immune stimulatory T cell ratios in the majority of participants treated with IMNN-001, including favorable ratios of CD8+/T regulatory (Treg) cells, CD8+/IDO+ cells, and CD8+/CD4+ cells.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TME shift in favor of decreased immunosuppression cells (IDO+, PDL1+, Treg, CD4+) and increased immunostimulatory cells (CD8+, CD8+ effector, myeloid dendritic cells) in the majority of participants post-treatment.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IMNN-001 treatment creates a “hot” anti-TME by increasing the recruitment of anti-tumor CD8+ and myeloid dendritic cells in 50-80% of the paired samples and decreasing immunosuppressive markers (IDO, PDL1, Treg cells) in 65-80% of the samples.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IMNN-001 continues to show a favorable safety profile.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the study continue to validate our TheraPlas® technology and the broad impact of IMNN-001 on important cancer-fighting cytokines, effectively turning the tumor microenvironment from “cold” to ‘hot’ by activating both innate and adaptive immune systems, with limited to no systemic toxicities.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10, 2025, the Company held a R&amp;D Day which showcased recent progress with its IMNN-001 development program for the treatment of newly diagnosed advanced ovarian cancer, including a review of positive data from the Company’s Phase 2 OVATION 2 Study and the minimal residual disease (MRD) study conducted in partnership with Break </w:t>
      </w:r>
      <w:r>
        <w:rPr>
          <w:rFonts w:ascii="Times New Roman;Times;Serif" w:hAnsi="Times New Roman;Times;Serif"/>
          <w:b w:val="false"/>
          <w:i/>
          <w:caps w:val="false"/>
          <w:smallCaps w:val="false"/>
          <w:sz w:val="20"/>
        </w:rPr>
        <w:t>Through</w:t>
      </w:r>
      <w:r>
        <w:rPr>
          <w:rFonts w:ascii="Times New Roman;Times;Serif" w:hAnsi="Times New Roman;Times;Serif"/>
          <w:b w:val="false"/>
          <w:i w:val="false"/>
          <w:caps w:val="false"/>
          <w:smallCaps w:val="false"/>
          <w:sz w:val="20"/>
        </w:rPr>
        <w:t xml:space="preserve"> Cancer</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Day Featured Speakers and Program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Premal H. Thaker, M.D., Washington University School of Medicine, discussed the significant continuing unmet needs in ovarian cancer, a devastating disease where patient outcomes and frontline standard of care treatment have not changed for about 30 years, and the promise IMNN-001 brings to these patients and clinicians. She highlighted the data from the Phase 2 OVATION 2 clinical trial, with results including: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impact observed with IMNN-001 treatment on important cancer-fighting cytokines, effectively turning the tumor microenvironment from “cold” to “hot” by activating both innate and adaptive immune systems, renewing the elusive promise of an immunotherapy for ovarian cancer.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reinforcing the highly favorable benefit-risk and safety profile of IMMN 001.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median 13-month overall survival (OS) benefit observed with IMNN-001 plus standard of care (SoC) chemotherapy, an increase that is considered clinically meaningful compared to SoC alone.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Jazaeri, M.D., University of Texas MD Anderson Cancer Center, discussed safety, tolerability and translational insights from the Phase 2 MRD study of IMNN-001, including: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Rationale for the trial and the importance of frontline therapy as the best opportunity to achieve a cure for ovarian cancer.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translational data that clearly showed IMNN-001 preferentially being taken up by macrophages within the peritoneal fluid and tumor tissue, which then induces a robust response and tumor microenvironment remodeling.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data further supporting the highly favorable benefit-risk and tolerability profile of IMNN-001.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positive tolerability profile of IMNN-001, including in combination with SoC chemotherapy plus bevacizumab and in the maintenance setting.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Giorgio Paulon, Ph.D., Berry Consultants, LLC, reviewed the Phase 2 and ongoing Phase 3 trial designs and the strength of evidence for IMNN-001 from a statistical perspective. He highlighted the well-precedented nature of the Phase 3 design with the FDA, which leverages an innovative, adaptive, event-driven approach aligned with prior successful oncology trials that resulted in full approval by FDA based on interim analyses of overall survival.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V. Faller, M.D., Ph.D., Imunon’s Chief Medical Officer, presented new data further demonstrating that IMNN-001 shifted the balance in favor of immune stimulation, remodeling the tumor microenvironment in favor of anti-tumor responses, which is established to be associated with better prognosis. He shared the rapid progress to-date on the Phase 3 trial of IMNN-001, including expansion to additional sites and enrollment exceeding the Company’s expectations, strong levels of support and interest from investigators and the scientific community, and key clinical and other milestones for the company moving forward.</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final data from the completed Phase 2 OVATION 2 clinical trial evaluating IMNN-001 in combination with standard of care (SoC) neoadjuvant and adjuvant chemotherapy. Imunon initially reported a median 11.1 month increase in overall survival (40.5 vs. 29.4 months) in the IMNN-001 treatment arm compared to SoC chemotherapy alone. Following the final data assessment, the Company reported a median 14.7 month increase in overall survival (45.1 vs. 30.4 months) in women in the IMNN-001 treatment arm compared to SoC alone, demonstrating continuous improvement in overall survival (3.6 delta) with increasing follow-up time. In addition, the final IMNN-001 data showed that women treated with IMNN-001 and SoC chemotherapy plus poly ADP-ribose polymerase (PARP) inhibitors as part of maintenance therapy achieved a median increase in overall survival of 24.2 months (65.6 vs. 41.4 months) compared to SoC chemotherapy alone.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with these final efficacy results, IMNN-001 continued to show a highly favorable safety and tolerability profile across all clinical trials, further reinforcing the potential of this IL-12 immunotherapy to represent an important advance in the treatment of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OVATION 3 Study. </w:t>
      </w:r>
      <w:r>
        <w:rPr>
          <w:rFonts w:ascii="Times New Roman;Times;Serif" w:hAnsi="Times New Roman;Times;Serif"/>
          <w:b w:val="false"/>
          <w:i w:val="false"/>
          <w:caps w:val="false"/>
          <w:smallCaps w:val="false"/>
          <w:sz w:val="20"/>
        </w:rPr>
        <w:t>The Phase 3 OVATION 3 trial will assess the safety and efficacy of IMNN-001 (100 mg/m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administered intraperitoneally weekly) plus neoadjuvant and adjuvant chemotherapy (NACT) of paclitaxel and carboplatin compared to standard of care (SoC) NACT alone. Study participants are being randomized 1:1 and include women with newly diagnosed advanced ovarian cancer (stage 3 or 4) who are eligible for neoadjuvant therapy, the intent-to-treat (ITT) population.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announced that the FDA is aligned with the protocol for the Phase 3 OVATION 3 pivotal trial of its lead candidate IMNN-001 in development for the treatment of women with newly diagnosed advanced ovarian cancer. The Company is currently enrolling patients at four trial sites with additional sites being considered for activation.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seven sites are open to recruitment, and enrollment in the ITT population remains on track to complete enrollment by the first half of 2029. As reported on July 30, 2026 since initiating the trial, the Company has observed rapid site activation and an enrollment rate that is exceeding its forecast. The currently observed study-level enrollment rate of approximately meaningfully exceeds the assumed rate of 0.3 patients per site per month used in the trial plan. Additional sites will open on pace with projection.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the independent Data Monitoring Committee (iDMC) has recommended continuation of the pivotal Phase 3 OVATION 3 clinical trial. IMNN-001 has continued to demonstrate a highly favorable safety and tolerability profile, with no observed episodes of cytokine release syndrome, systemic toxicities or serious immune-related adverse events that have historically blocked the use of IL-12 to effectively treat cancer patients. Safety profiles have been comparable between the two arms of the study (IMNN-001 plus neoadjuvant and adjuvant chemotherapy {N/ACT} versus N/ACT alone), consistent with observations from the Company’s ongoing Phase 2 Minimal Residual Disease (MRD) study (see below). The iDMC has recommended continuation of the OVATION 3 clinical trial without modification, representing another important validation of the efficacy and safety data previously reported and brings new levels of momentum to the Company’s efforts to advance this trial as rapidly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IMNN-001 in Combination with Bevacizumab. </w:t>
      </w:r>
      <w:r>
        <w:rPr>
          <w:rFonts w:ascii="Times New Roman;Times;Serif" w:hAnsi="Times New Roman;Times;Serif"/>
          <w:b w:val="false"/>
          <w:i w:val="false"/>
          <w:caps w:val="false"/>
          <w:smallCaps w:val="false"/>
          <w:sz w:val="20"/>
        </w:rPr>
        <w:t xml:space="preserve">In February 2023, the Company and Break </w:t>
      </w:r>
      <w:r>
        <w:rPr>
          <w:rFonts w:ascii="Times New Roman;Times;Serif" w:hAnsi="Times New Roman;Times;Serif"/>
          <w:b w:val="false"/>
          <w:i/>
          <w:caps w:val="false"/>
          <w:smallCaps w:val="false"/>
          <w:sz w:val="20"/>
        </w:rPr>
        <w:t>Through</w:t>
      </w:r>
      <w:r>
        <w:rPr>
          <w:rFonts w:ascii="Times New Roman;Times;Serif" w:hAnsi="Times New Roman;Times;Serif"/>
          <w:b w:val="false"/>
          <w:i w:val="false"/>
          <w:caps w:val="false"/>
          <w:smallCaps w:val="false"/>
          <w:sz w:val="20"/>
        </w:rPr>
        <w:t xml:space="preserve"> Cancer, a public foundation dedicated to supporting 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Phase I/II study, titled “Targeting Ovarian Cancer Minimal Residual Disease (MRD) Using Immune and DNA Repair Directed Therapies,” is expected to enroll 30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are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announced new positive preliminary data from its ongoing Phase 2 MRD clinical trial. Nine patients in each of the control and experimental arms (total target accrual of 30 patients, 15 in each arm) have reached second-look laparoscopy (SLL), the study’s primary assessment point for surgical MRD. Compared to control, preliminary results show a deeper antitumor response, as demonstrated by a lower MRD-positive rate, in patients treated with IMNN-001 (44% vs. 67%), a higher rate of circulating tumor DNA (ctDNA) clearance (87.5% vs. 62.5%), and a numerically higher rate of patients achieving no evidence of disease (NED) following frontline therapy (100% vs. 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review of the MRD study accomplishments was conducted in the third quarter of 2025, and it was determined that study goals contributing to the IMNN-001 development plan and Break </w:t>
      </w:r>
      <w:r>
        <w:rPr>
          <w:rFonts w:ascii="Times New Roman;Times;Serif" w:hAnsi="Times New Roman;Times;Serif"/>
          <w:b w:val="false"/>
          <w:i/>
          <w:caps w:val="false"/>
          <w:smallCaps w:val="false"/>
          <w:sz w:val="20"/>
        </w:rPr>
        <w:t>Through</w:t>
      </w:r>
      <w:r>
        <w:rPr>
          <w:rFonts w:ascii="Times New Roman;Times;Serif" w:hAnsi="Times New Roman;Times;Serif"/>
          <w:b w:val="false"/>
          <w:i w:val="false"/>
          <w:caps w:val="false"/>
          <w:smallCaps w:val="false"/>
          <w:sz w:val="20"/>
        </w:rPr>
        <w:t xml:space="preserve"> Cancer study objectives can be accomplished in a trial of 30 patients. A decision was made in November 2025 to complete enrollment of the trial once the ITT population has reached 30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ITT population was twenty-four (24) patients randomized and treated in the study at the University of Texas MD Anderson Cancer Center and Memorial Sloan Kettering Cancer Center. The Stephenson Cancer Center at University of Oklahoma has been added as an additional clinical site for this study and is open to recruitment.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PLACCINE DNA VACCINE MODALITY: IMNN-101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Imunon’s PLACCINE DNA vaccine modality (“PLACCINE”) is a novel DNA-based, investigational vaccine for preventing or treating infections from a broad range of infectious agents and is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Next Generation Vaccine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vaccine technology will need to address viral mutations and the challenges of efficient manufacturing, distribution, and storage. We believe the adaptation of our TheraPlas technology, PLACCINE, has the potential to meet these challenges. Our approach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Viral Mutations</w:t>
            </w:r>
            <w:r>
              <w:rPr>
                <w:rFonts w:ascii="Times New Roman;Times;Serif" w:hAnsi="Times New Roman;Times;Serif"/>
                <w:b w:val="false"/>
                <w:i w:val="false"/>
                <w:caps w:val="false"/>
                <w:smallCaps w:val="false"/>
                <w:sz w:val="20"/>
              </w:rPr>
              <w:t>: PLACCINE may offer broad-spectrum and mutational resistance (variants) by targeting multiple antigens on a single plasmid vector.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Durable Efficacy</w:t>
            </w:r>
            <w:r>
              <w:rPr>
                <w:rFonts w:ascii="Times New Roman;Times;Serif" w:hAnsi="Times New Roman;Times;Serif"/>
                <w:b w:val="false"/>
                <w:i w:val="false"/>
                <w:caps w:val="false"/>
                <w:smallCaps w:val="false"/>
                <w:sz w:val="20"/>
              </w:rPr>
              <w:t>: PLACCINE delivers a DNA plasmid-based antigen that could result in durable antigen exposure and a robust vaccine response to viral antigens.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Storage &amp; Distribution</w:t>
            </w:r>
            <w:r>
              <w:rPr>
                <w:rFonts w:ascii="Times New Roman;Times;Serif" w:hAnsi="Times New Roman;Times;Serif"/>
                <w:b w:val="false"/>
                <w:i w:val="false"/>
                <w:caps w:val="false"/>
                <w:smallCaps w:val="false"/>
                <w:sz w:val="20"/>
              </w:rPr>
              <w:t>: PLACCINE allows for stability that is compatible with manageable vaccine storage and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Simple Dosing &amp; Administration</w:t>
            </w:r>
            <w:r>
              <w:rPr>
                <w:rFonts w:ascii="Times New Roman;Times;Serif" w:hAnsi="Times New Roman;Times;Serif"/>
                <w:b w:val="false"/>
                <w:i w:val="false"/>
                <w:caps w:val="false"/>
                <w:smallCaps w:val="false"/>
                <w:sz w:val="20"/>
              </w:rPr>
              <w:t>: PLACCINE is a synthetic delivery system that should require a simple injection that does not require viruses or special equipment to deliver its payload.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were to evaluate safety, tolerability, neutralizing antibody response, and the vaccine’s durability (duration of immunogenicity) in healthy adults. Secondary objectives of the study included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the Company announced new data from its first Phase 1 proof-of-concept clinical trial of IMNN-101. Results in 24 healthy volunteers demonstrated IMNN-101’s durability of protection at six months after a single dose targeting the SARS-CoV-2 Omicron XBB1.5 spike antigen variant. IMNN-101 induced up to a 3-fold median increase in the serum neutralizing antibody (NAb) titers from baseline at six months, with initial evidence of a stronger immune response in two higher dose cohorts (2.0 mg and 1.0 mg) compared to a lower dose cohort (0.5 mg). The highest observed increase among the participating volunteers was 8-fold from baseline. IMNN-101 continues to be safe and well tolerated, with no serious adverse effects reported.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Phase 1 trial, designed to demonstrate the advantages of Imunon’s technology compared to approved messenger RNA (mRNA) vaccines, IMNN-101 was administered as a single dose vaccine without a booster dose in study participants who were previously vaccinated against the Omicron XBB1.5 variant. Study participants had high baseline immune characteristics, presumably from prior infection and multiple previous vaccinations against COVID-19, and ongoing infection. Modest increases in T-cell responses were observed in trial participants who received multiple immunizations prior to the study. Results from the Phase 1 trial build on data previously announced in February 2025, which showed IMNN-101 induced a persistent 2- to 4-fold increase in serum NAb titers from baseline through Week 4, further increasing NAb titers between Week 2 and Week 4. The immune response was also observed against the XBB1.5 variant and many newer variants following treatment, demonstrating the IMNN-101 vaccine’s cross-reactivity. The Phase 1 clinical data of IMNN-101 is consistent with strong evidence of immunogenicity and protection for the PlaCCine platform in rodents and non-human primates, with prior preclinical results showing comparable protection efficiency (&gt;95%) to a commercial mRNA vaccine in non-human primates.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I trial was designed to establish proof of concept (PoC) for IMNN-101 as an advancement in vaccine technology. Imunon intends to seek partnership and/or business development opportunities to develop the scientific and business case for IMNN-101 as a future vaccine to address viral mutations. The Company has paused further development of this study at the current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Plan and Going Concern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$6.9 million in cash and cash equivalents to fund its operations. The Company’s primary sources of cash have been proceeds from the issuance and sale of its common stock, including via its at-the-market (“ATM”) program and other funding transactions including preferred stock and debt financings.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2025, includes an explanatory paragraph which expresses substantial doubt about our ability to continue as a going concern. See also Note 2 to the Condensed Consolidated Financial Statements contained in this Quarterly Report on Form 10-Q.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includes raising funds from outside investors through the issuance and sale of its common stock, including the use of its at-the-market (“ATM”) program and other potential funding transactions. However, as mentioned above, there can be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risks and uncertainties discussed in the 2025 Annual Report filed on March 31, 2026 with the SEC,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Equity, Debt and Other Forms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for the six months ended June 30, 2026, we issued a total of 3.5 million shares of common stock for approximately $15.9 million in gross proceeds. Subsequent to June 30, 2026 and through the date of this Quarterly Report on Form 10-Q, we issued another 162,804 shares of common stock under the at-the-market (“ATM”) program for net proceeds of $298,494.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our outstanding Common Stock held by non-affiliates was approximately $79,075,969, based on 2,121,895 shares of Common Stock outstanding as of July 22, 2025, of which 2,100,291 shares were held by non-affiliates, and a price of $37.65 per share, which was the last reported sale price of our Common Stock on The Nasdaq Stock Market LLC (“Nasdaq”) on June 2, 2025. As a result, our public float increased above $75 million, and we were no longer subject to the limitations contained in General Instruction I.B.6 of Form S-3. Upon the filing of Form 10-K on March 31, 2026, the Company’s public float was less than $75 million, and as a result, the Company is currently subject to the limitations contained in General Instruction I.B.6 of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 and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Securities Purchase Agreement (the “June 2026 Securities Purchase Agreement”) with Streeterville Capital, LLC (the “Investor”), providing for the issuance and sale by the Company, and the purchase by the Investor, of (i) 250 shares (the “Preferred Shares”) of the Company’s Series A Preferred Stock, par value $0.01 per share (the “Series A Preferred Stock”), at an issued value of $10,000 per share and a stated value of $12,000 per share, for aggregate gross proceeds of $2,500,000; (ii) a Secured Promissory Note A-1 in an original principal amount of $2,720,000 (the “A-1 Note”); and (iii) a Secured Promissory Note B in an original principal amount of $5,000,000 (the “B Note” and together with the A-1 Note, the “Notes”). The transactions contemplated by the Securities Purchase Agreement (collectively, the “Transaction”) closed on June 3, 2026 (the “Closing Date”). At closing, the Company received $10,000,000 from the Investor, $5,000,000 of which was deposited into a bank account owned by a wholly owned subsidiary of the Company as cash collateral for the Notes (the “Cash Collateral Account”). The $5,000,000 amount is classified as restricted cash on the balance sheet. The obligations under the Notes are secured by substantially all of the assets of the Company, other than its intellectual property assets, and are guaranteed by certain of the Company’s subsidiaries. The Company intends to utilize the $5,000,000 of proceeds from the closing of the Transaction, along with any proceeds later released from the Cash Collateral Account, for general corporate purposes, including research and development activities, capital expenditures and working capital. The Company agreed to pay the placement agents for financing a fee of 7.0% of the gross proceeds received by the Company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aggregate outstanding balance of the A-1 Note or the aggregate number of outstanding Preferred Shares is reduced by $2,000,000 (or, if less than $2,000,000, the entire remaining outstanding balance of the A-1 Note), the Company will have the right to exchange up to $1,000,000, plus interest (or, if less than $1,000,000, the entire remaining amount of the B Note, or such other amount as the parties mutually agree), of the B Note for a new secured note in the same form and having the same terms as the A-1 Note (each, a “Note Exchange”). Upon the completion of each Note Exchange, an amount of cash equal to the amount of the B Note exchanged in such Note Exchange will be released from the Cash Collateral Account to the Company. The A-1 Note will bear interest at 8% per annum and will mature 18 months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 Note will bear interest at 5% per annum and will mature 18 months following the Closing Date. The Notes can be prepaid by the Company in whole or in part at any time, subject to a 10% prepayment premium on any principal amounts prepaid. Beginning six months after the Closing Date, the Investor may redeem up to $250,000 of the principal amount of the A-1 Note each calendar month. In addition, on any trading day when the Company’s common stock trades at a price that is at least 15% greater than the “Minimum Price” as defined under Nasdaq Stock Market LLC Rule 5635(d), the Investor may redeem an additional principal amount of the Notes equal to 5% of the trading volume of the Company’s common stock on such trading day. The Company will be subject to customary covenants while the Notes remain outstanding. The Notes also contain customary events of default, the occurrence of which would permit the Investor to accelerate the obligations under the Notes and exercise remedies against any collateral (including amounts on deposit in the Cash Collateral Account) or guarantees in respect of the Notes. In addition, following the occurrence of an event of default, the interest rate of each Note would increase to the lesser of 15% per year or the maximum rate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fees totaling $350,000 were allocated between the preferred stock and Note A based on their values. Issuance costs, which primarily include legal fees totaling $292,310, were allocated between the preferred stock and Note A and Note B based on the face value of each financial instrument and will be amortized over the life of the instruments. The original issuance discount associated with Note A was recorded as a contra-liability to be amortized over the life of the note. The Company concluded the preferred stock was permanent equity and is included in Stockholder’s Equity for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1 to our consolidated financial statements included in our 2025 Annual Report on Form 10-K for the year ended December 31, 2025 filed with the SEC on March 31, 2026. See Note 3 to the Condensed Consolidated Financial Statements contained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 FOR THE THREE MONTHS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was $2.8 million and $7.1 million for the three-months and six-months ended June 30, 2026, respectively, compared to a net loss of $2.7 million and $6.8 million, respectively for the same periods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$6.9 million in cash and cash equivalents at June 30, 2026, such conditions raise substantial doubts about the Company’s ability to continue as a going concern. Based on the above, management has determined there is substantial doubt regarding our ability to continue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pStyle w:val="TextBody"/>
        <w:bidi w:val="0"/>
        <w:spacing w:before="0" w:after="0"/>
        <w:ind w:left="0" w:right="0" w:hanging="0"/>
        <w:jc w:val="left"/>
        <w:rPr>
          <w:caps w:val="false"/>
          <w:smallCaps w:val="false"/>
        </w:rPr>
      </w:pPr>
      <w:r>
        <w:rPr>
          <w:caps w:val="false"/>
          <w:smallCaps w:val="false"/>
        </w:rPr>
        <w:t> </w:t>
      </w:r>
    </w:p>
    <w:tbl>
      <w:tblPr>
        <w:tblW w:w="9013" w:type="dxa"/>
        <w:jc w:val="left"/>
        <w:tblInd w:w="0" w:type="dxa"/>
        <w:tblLayout w:type="fixed"/>
        <w:tblCellMar>
          <w:top w:w="0" w:type="dxa"/>
          <w:left w:w="0" w:type="dxa"/>
          <w:bottom w:w="0" w:type="dxa"/>
          <w:right w:w="0" w:type="dxa"/>
        </w:tblCellMar>
      </w:tblPr>
      <w:tblGrid>
        <w:gridCol w:w="3725"/>
        <w:gridCol w:w="60"/>
        <w:gridCol w:w="162"/>
        <w:gridCol w:w="651"/>
        <w:gridCol w:w="110"/>
        <w:gridCol w:w="69"/>
        <w:gridCol w:w="162"/>
        <w:gridCol w:w="738"/>
        <w:gridCol w:w="110"/>
        <w:gridCol w:w="69"/>
        <w:gridCol w:w="275"/>
        <w:gridCol w:w="899"/>
        <w:gridCol w:w="187"/>
        <w:gridCol w:w="117"/>
        <w:gridCol w:w="117"/>
        <w:gridCol w:w="1257"/>
        <w:gridCol w:w="30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June 30,</w:t>
            </w:r>
          </w:p>
        </w:tc>
        <w:tc>
          <w:tcPr>
            <w:tcW w:w="30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Increase (Decrease)</w:t>
            </w:r>
          </w:p>
        </w:tc>
        <w:tc>
          <w:tcPr>
            <w:tcW w:w="30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Research</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OVATION Trials (Phase 2 &amp; 3)</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MRD Study</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PlaCCine Vaccine Phase 1 Trial</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Clinical and Regulatory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Non-Clinical R&amp;D and CMC</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&amp; Clinical Supply costs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2,792</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8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were $1.5 million in the second quarter of 2026 compared to $1.2 million in the same period of 2025. Clinical costs associated with the OVATION studies were $0.2 million in the second quarter of 2026 compared to $0.1 million for the same period of 2025. During 2025, the Company initiated enrollment in the OVATION 3 Study and closed out the OVATION 2 study. In connection with the closeout of the OVATION 2 study, approximately $0.6 million of expenses previously accrued by the Company had been written down. Other clinical and regulatory costs remained relatively unchanged at $0.3 million in each of the second quarters of 2026 and 2025. Manufacturing and clinical supply costs associated with the development and testing of IMNN-001 to support the OVATION and MRD programs were $0.9 million in the second quarter of 2026 compared to $0.7 million in same period of 2025, and the major contribution to this increase relates to the advancement of OVATION-3.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to $1.3 million in the second quarter of 2026 compared to $1.5 million in the same period of 2025. This decrease is related to a decrease in outside professional fees during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 is insignificant for each of the second quarters of 2026 and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682" w:type="dxa"/>
        <w:jc w:val="left"/>
        <w:tblInd w:w="0" w:type="dxa"/>
        <w:tblLayout w:type="fixed"/>
        <w:tblCellMar>
          <w:top w:w="0" w:type="dxa"/>
          <w:left w:w="0" w:type="dxa"/>
          <w:bottom w:w="0" w:type="dxa"/>
          <w:right w:w="0" w:type="dxa"/>
        </w:tblCellMar>
      </w:tblPr>
      <w:tblGrid>
        <w:gridCol w:w="3500"/>
        <w:gridCol w:w="60"/>
        <w:gridCol w:w="148"/>
        <w:gridCol w:w="672"/>
        <w:gridCol w:w="100"/>
        <w:gridCol w:w="63"/>
        <w:gridCol w:w="148"/>
        <w:gridCol w:w="672"/>
        <w:gridCol w:w="100"/>
        <w:gridCol w:w="63"/>
        <w:gridCol w:w="276"/>
        <w:gridCol w:w="899"/>
        <w:gridCol w:w="186"/>
        <w:gridCol w:w="117"/>
        <w:gridCol w:w="117"/>
        <w:gridCol w:w="1256"/>
        <w:gridCol w:w="30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28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Increase (Decrease)</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Research</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OVATION Trials (Phase 2 &amp; 3)</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MRD Study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PlaCCine Vaccine Phase 1 Trial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Clinical and Regulatory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Non-Clinical R&amp;D and CMC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&amp; Clinical Supply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8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(7,098</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(6,913</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were $3.8 million in the first half of 2026 compared to $3.4 million in the same period of 2025. Clinical costs associated with the OVATION studies were $0.3 million in each of the first halves of 2026 and 2025. During 2025, the Company initiated enrollment in the OVATION 3 Study and closed out the OVATION 2 study. In connection with the closeout of the OVATION 2 study, approximately $0.6 million of expenses previously accrued by the Company had been written down. Other clinical and regulatory costs remained relatively unchanged at $0.9 million in each of the first halves of 2026 and 2025. Manufacturing and clinical supply costs associated with the development and testing of IMNN-001 to support the OVATION and MRD programs were $2.4 million in the first half of 2026 compared to $2.0 million in same period of 2025. The increase in 2026 includes severance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to $3.3 million in the first half of 2026 compared to $3.5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 was insignificant in each of the first halves of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losses and negative cash flows from operations. We have financed our operations primarily through the net proceeds from the sales of equity, credit facilities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$428 million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we had total current assets of $8.7 million and current liabilities of $4.8 million, resulting in net working capital of $3.9 million. At June 30, 2026, we had cash and cash equivalents of $6.9 million and $5.0 million in restricted cash. At December 31, 2025, we had total current assets of $10.7 million and current liabilities of $4.6 million, resulting in net working capital of $6.1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first six months of 2026 was $7.0 million. Net cash associated with investing activities was insignificant during the first six months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seek additional capital through additional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5" w:name="sp_001"/>
      <w:bookmarkEnd w:id="57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6" w:name="sp_002"/>
      <w:bookmarkEnd w:id="57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2026,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7" w:name="sp_003"/>
      <w:bookmarkEnd w:id="577"/>
      <w:r>
        <w:rPr>
          <w:rFonts w:ascii="Times New Roman;Times;Serif" w:hAnsi="Times New Roman;Times;Serif"/>
          <w:b/>
          <w:i w:val="false"/>
          <w:caps w:val="false"/>
          <w:smallCaps w:val="false"/>
          <w:sz w:val="20"/>
        </w:rPr>
        <w:t>PART II: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8" w:name="sp_004"/>
      <w:bookmarkEnd w:id="578"/>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9" w:name="sp_005"/>
      <w:bookmarkEnd w:id="57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risk factors from those disclosed under “Risk Factors” in Part I, Item 1A of our 2025 Annual Report on Form 10-K. The risks and uncertainties described in our 2025 Annual Report on Form 10-K are not the only ones we face. Additional risks and uncertainties not presently known to us or that we currently deem immaterial may also materially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0" w:name="sp_006"/>
      <w:bookmarkEnd w:id="58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issued an aggregate of 49,135 shares of common stock to certain employees and directors pursuant to compensatory arrangements in reliance upon the exemption from registration provided by Rule 701 under the Securities Act. No underwriting discounts or commissions were paid in connection with these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1" w:name="sp_007"/>
      <w:bookmarkEnd w:id="58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6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2" w:name="sp_008"/>
      <w:bookmarkEnd w:id="58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6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3" w:name="sp_009"/>
      <w:bookmarkEnd w:id="58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2026 through June 30, 2026, no directors or executive officers </w:t>
      </w:r>
      <w:bookmarkStart w:id="584" w:name="xdx_905_eecd--NonRule10b51ArrAdoptedFlag"/>
      <w:bookmarkStart w:id="585" w:name="xdx_905_eecd--Rule10b51ArrAdoptedFlag_db"/>
      <w:bookmarkEnd w:id="584"/>
      <w:bookmarkEnd w:id="585"/>
      <w:r>
        <w:rPr>
          <w:rFonts w:ascii="Times New Roman;Times;Serif" w:hAnsi="Times New Roman;Times;Serif"/>
          <w:b w:val="false"/>
          <w:i w:val="false"/>
          <w:caps w:val="false"/>
          <w:smallCaps w:val="false"/>
          <w:sz w:val="20"/>
        </w:rPr>
        <w:t xml:space="preserve">entered into, </w:t>
      </w:r>
      <w:bookmarkStart w:id="586" w:name="xdx_90B_ecustom--NonRule10b51ArrModified"/>
      <w:bookmarkStart w:id="587" w:name="xdx_905_ecustom--Rule10b51ArrModifiedFla"/>
      <w:bookmarkEnd w:id="586"/>
      <w:bookmarkEnd w:id="587"/>
      <w:r>
        <w:rPr>
          <w:rFonts w:ascii="Times New Roman;Times;Serif" w:hAnsi="Times New Roman;Times;Serif"/>
          <w:b w:val="false"/>
          <w:i w:val="false"/>
          <w:caps w:val="false"/>
          <w:smallCaps w:val="false"/>
          <w:sz w:val="20"/>
        </w:rPr>
        <w:t xml:space="preserve">modified or </w:t>
      </w:r>
      <w:bookmarkStart w:id="588" w:name="xdx_905_eecd--NonRule10b51ArrTrmntdFlag_"/>
      <w:bookmarkStart w:id="589" w:name="xdx_907_eecd--Rule10b51ArrTrmntdFlag_dbF"/>
      <w:bookmarkEnd w:id="588"/>
      <w:bookmarkEnd w:id="589"/>
      <w:r>
        <w:rPr>
          <w:rFonts w:ascii="Times New Roman;Times;Serif" w:hAnsi="Times New Roman;Times;Serif"/>
          <w:b w:val="false"/>
          <w:i w:val="false"/>
          <w:caps w:val="false"/>
          <w:smallCaps w:val="false"/>
          <w:sz w:val="20"/>
        </w:rPr>
        <w:t>terminated, contracts, instructions or written plans for the sale or purchase of the Company’s securities that were intended to satisfy the affirmative defense conditions of Rule 10b5-1.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0" w:name="sp_010"/>
      <w:bookmarkEnd w:id="590"/>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60"/>
        <w:gridCol w:w="9690"/>
      </w:tblGrid>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Designation of Preferences and Rights of Series A Preferred Stock, incorporated by reference to Exhibit 3.1 to the Current Report on Form 8-K of the Company filed on June 4,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Securities Purchase Agreement dated June 2, 2026, by and between the Company and Streeterville Capital, LLC, incorporated by reference to Exhibit 10.1 to the Current Report on Form 8-K of the Company filed on June 4,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Secured Promissory Note A-1 dated June 2, 2026, made by the Company in favor of Streeterville Capital, LLC, incorporated by reference to Exhibit 10.2 to the Current Report on Form 8-K of the Company filed on June 4,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Secured Promissory Note B dated June 2, 2026, made by the Company in favor of Streeterville Capital, LLC, incorporated by reference to Exhibit 10.3 to the Current Report on Form 8-K of the Company filed on June 4,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IMUNON, Inc. 2018 Stock Incentive Plan, as amended as of June 16, 2026, incorporated by reference to Exhibit 10.1 to the Current Report on Form 8-K of the Company filed on June 16,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Master Services Agreement, dated June 24, 2026, by and between Imunon, Inc. and Danforth Health, Inc., incorporated by reference to Exhibit 10.1 to the Current Report on Form 8-K of the Company filed on June 30, 2026</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Rule 13a-14(a)/15d-14(a), as adopted pursuant to Section 302 of the Sarbanes-Oxley Act of 2002.</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Rule 13a-14(a)/15d-14(a), as adopted pursuant to Section 302 of the Sarbanes-Oxley Act of 2002.</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the Company’s Quarterly Report on Form 10-Q for the quarter ended June 30, 2026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 or compensatory plan or arrangement.</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information is filed herewith.</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to this Exhibit have been omitted. The Company agrees to furnish a copy of the omitted schedules and exhibits to the Securities and Exchange Commission on a supplemental basis upon its request.</w:t>
            </w:r>
          </w:p>
        </w:tc>
      </w:tr>
      <w:tr>
        <w:trPr/>
        <w:tc>
          <w:tcPr>
            <w:tcW w:w="4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1" w:name="sp_011"/>
      <w:bookmarkEnd w:id="59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385"/>
        <w:gridCol w:w="320"/>
        <w:gridCol w:w="2240"/>
      </w:tblGrid>
      <w:tr>
        <w:trPr/>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256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256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256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Stacy R. Lindborg Ph.D.</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Stacy R. Lindborg, Ph.D.</w:t>
            </w:r>
          </w:p>
        </w:tc>
      </w:tr>
      <w:tr>
        <w:trPr/>
        <w:tc>
          <w:tcPr>
            <w:tcW w:w="138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320"/>
        <w:gridCol w:w="25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 Blacher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Blacher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jc w:val="right"/>
        <w:rPr>
          <w:caps w:val="false"/>
          <w:smallCaps w:val="false"/>
        </w:rPr>
      </w:pPr>
      <w:bookmarkStart w:id="592" w:name="ex31-1.htm"/>
      <w:bookmarkStart w:id="593" w:name="ksex311"/>
      <w:bookmarkEnd w:id="592"/>
      <w:bookmarkEnd w:id="59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Stacy R. Lindborg Ph.D.,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Imunon, Inc.;</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03"/>
        <w:gridCol w:w="9867"/>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pPr>
            <w:r>
              <w:rPr/>
              <w:t> </w:t>
            </w:r>
          </w:p>
        </w:tc>
        <w:tc>
          <w:tcPr>
            <w:tcW w:w="98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215"/>
        <w:gridCol w:w="9772"/>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77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77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385"/>
        <w:gridCol w:w="365"/>
        <w:gridCol w:w="2240"/>
      </w:tblGrid>
      <w:tr>
        <w:trPr/>
        <w:tc>
          <w:tcPr>
            <w:tcW w:w="138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Imunon, Inc.</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11,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Stacy R. Lindborg Ph.D.</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R. Lindborg Ph.D.</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594" w:name="ex31-2.htm"/>
      <w:bookmarkStart w:id="595" w:name="ksex312"/>
      <w:bookmarkEnd w:id="594"/>
      <w:bookmarkEnd w:id="59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Josh Blacher,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203"/>
        <w:gridCol w:w="9789"/>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Imunon, Inc.;</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92"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1385"/>
        <w:gridCol w:w="365"/>
        <w:gridCol w:w="2570"/>
      </w:tblGrid>
      <w:tr>
        <w:trPr/>
        <w:tc>
          <w:tcPr>
            <w:tcW w:w="138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Imunon, Inc.</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11,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Josh Blacher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 Blacher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Interim Chief Financial Officer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596" w:name="ex32-1.htm"/>
      <w:bookmarkStart w:id="597" w:name="ksex321"/>
      <w:bookmarkEnd w:id="596"/>
      <w:bookmarkEnd w:id="59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2026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pStyle w:val="TextBody"/>
        <w:bidi w:val="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1385"/>
        <w:gridCol w:w="365"/>
        <w:gridCol w:w="2285"/>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11,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Stacy R. Lindborg Ph. D.</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R. Lindborg Ph.D.</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385"/>
        <w:gridCol w:w="320"/>
        <w:gridCol w:w="2525"/>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Josh Blacher</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 Blacher</w:t>
            </w:r>
          </w:p>
        </w:tc>
      </w:tr>
      <w:tr>
        <w:trPr/>
        <w:tc>
          <w:tcPr>
            <w:tcW w:w="13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647/000149315226027201/ex3-1.htm" TargetMode="External"/><Relationship Id="rId3" Type="http://schemas.openxmlformats.org/officeDocument/2006/relationships/hyperlink" Target="https://www.sec.gov/Archives/edgar/data/749647/000149315226027201/ex10-1.htm" TargetMode="External"/><Relationship Id="rId4" Type="http://schemas.openxmlformats.org/officeDocument/2006/relationships/hyperlink" Target="https://www.sec.gov/Archives/edgar/data/749647/000149315226027201/ex10-2.htm" TargetMode="External"/><Relationship Id="rId5" Type="http://schemas.openxmlformats.org/officeDocument/2006/relationships/hyperlink" Target="https://www.sec.gov/Archives/edgar/data/749647/000149315226027201/ex10-3.htm" TargetMode="External"/><Relationship Id="rId6" Type="http://schemas.openxmlformats.org/officeDocument/2006/relationships/hyperlink" Target="https://www.sec.gov/Archives/edgar/data/749647/000149315226028937/ex10-1.htm" TargetMode="External"/><Relationship Id="rId7" Type="http://schemas.openxmlformats.org/officeDocument/2006/relationships/hyperlink" Target="https://www.sec.gov/Archives/edgar/data/749647/000149315226031292/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24909</Words>
  <Characters>136098</Characters>
  <CharactersWithSpaces>163724</CharactersWithSpaces>
  <Paragraphs>6589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