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05" w:lineRule="exact"/>
        <w:rPr>
          <w:sz w:val="24"/>
          <w:szCs w:val="24"/>
          <w:color w:val="auto"/>
        </w:rPr>
      </w:pPr>
    </w:p>
    <w:p>
      <w:pPr>
        <w:ind w:left="3940" w:right="2240" w:hanging="3932"/>
        <w:spacing w:after="0" w:line="500"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March 31, 2026</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340" w:right="2220" w:hanging="3332"/>
        <w:spacing w:after="0" w:line="500" w:lineRule="auto"/>
        <w:tabs>
          <w:tab w:leader="none" w:pos="33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001-15911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Imunon,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22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52-1256615</w:t>
            </w:r>
          </w:p>
        </w:tc>
      </w:tr>
      <w:tr>
        <w:trPr>
          <w:trHeight w:val="191"/>
        </w:trPr>
        <w:tc>
          <w:tcPr>
            <w:tcW w:w="4020" w:type="dxa"/>
            <w:vAlign w:val="bottom"/>
            <w:tcBorders>
              <w:top w:val="single" w:sz="8" w:color="auto"/>
            </w:tcBorders>
          </w:tcPr>
          <w:p>
            <w:pPr>
              <w:jc w:val="center"/>
              <w:ind w:left="141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5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rPr>
              <w:t>997 Lenox Drive, Suite 100,</w:t>
            </w:r>
          </w:p>
        </w:tc>
      </w:tr>
      <w:tr>
        <w:trPr>
          <w:trHeight w:val="220"/>
        </w:trPr>
        <w:tc>
          <w:tcPr>
            <w:tcW w:w="4020" w:type="dxa"/>
            <w:vAlign w:val="bottom"/>
          </w:tcPr>
          <w:p>
            <w:pPr>
              <w:spacing w:after="0"/>
              <w:rPr>
                <w:sz w:val="19"/>
                <w:szCs w:val="19"/>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Lawrenceville</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NJ 08648</w:t>
            </w:r>
          </w:p>
        </w:tc>
      </w:tr>
      <w:tr>
        <w:trPr>
          <w:trHeight w:val="234"/>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896-9100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IMNN</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0" w:right="339" w:bottom="1440" w:gutter="0" w:footer="0" w:header="0"/>
        </w:sectPr>
      </w:pPr>
    </w:p>
    <w:p>
      <w:pPr>
        <w:spacing w:after="0" w:line="135" w:lineRule="exact"/>
        <w:rPr>
          <w:sz w:val="24"/>
          <w:szCs w:val="24"/>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5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5480" w:space="720"/>
            <w:col w:w="5040"/>
          </w:cols>
          <w:pgMar w:left="320" w:top="740"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11, 2026, the Registrant had 4,202,118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190"/>
        </w:trPr>
        <w:tc>
          <w:tcPr>
            <w:tcW w:w="10600" w:type="dxa"/>
            <w:vAlign w:val="bottom"/>
            <w:gridSpan w:val="21"/>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PART I: FINANCIAL INFORMATION</w:t>
            </w:r>
          </w:p>
        </w:tc>
        <w:tc>
          <w:tcPr>
            <w:tcW w:w="6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r>
      <w:tr>
        <w:trPr>
          <w:trHeight w:val="216"/>
        </w:trPr>
        <w:tc>
          <w:tcPr>
            <w:tcW w:w="6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9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rPr>
                <w:sz w:val="17"/>
                <w:szCs w:val="17"/>
                <w:color w:val="auto"/>
              </w:rPr>
            </w:pPr>
          </w:p>
        </w:tc>
        <w:tc>
          <w:tcPr>
            <w:tcW w:w="99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2026 (Unaudited) and December 31, 2025</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rPr>
                <w:sz w:val="17"/>
                <w:szCs w:val="17"/>
                <w:color w:val="auto"/>
              </w:rPr>
            </w:pPr>
          </w:p>
        </w:tc>
        <w:tc>
          <w:tcPr>
            <w:tcW w:w="99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 for the Three Months Ended March 31, 2026 and 2025</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rPr>
                <w:sz w:val="17"/>
                <w:szCs w:val="17"/>
                <w:color w:val="auto"/>
              </w:rPr>
            </w:pPr>
          </w:p>
        </w:tc>
        <w:tc>
          <w:tcPr>
            <w:tcW w:w="99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 for the Three Months Ended March 31, 2026 and 2025</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6"/>
        </w:trPr>
        <w:tc>
          <w:tcPr>
            <w:tcW w:w="660" w:type="dxa"/>
            <w:vAlign w:val="bottom"/>
            <w:shd w:val="clear" w:color="auto" w:fill="CCEEFF"/>
          </w:tcPr>
          <w:p>
            <w:pPr>
              <w:spacing w:after="0"/>
              <w:rPr>
                <w:sz w:val="15"/>
                <w:szCs w:val="15"/>
                <w:color w:val="auto"/>
              </w:rPr>
            </w:pPr>
          </w:p>
        </w:tc>
        <w:tc>
          <w:tcPr>
            <w:tcW w:w="99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(Unaudited) for the Three Months Ended March 31, 2026 and</w:t>
            </w:r>
          </w:p>
        </w:tc>
        <w:tc>
          <w:tcPr>
            <w:tcW w:w="640" w:type="dxa"/>
            <w:vAlign w:val="bottom"/>
            <w:shd w:val="clear" w:color="auto" w:fill="CCEEFF"/>
          </w:tcPr>
          <w:p>
            <w:pPr>
              <w:spacing w:after="0"/>
              <w:rPr>
                <w:sz w:val="15"/>
                <w:szCs w:val="15"/>
                <w:color w:val="auto"/>
              </w:rPr>
            </w:pPr>
          </w:p>
        </w:tc>
      </w:tr>
      <w:tr>
        <w:trPr>
          <w:trHeight w:val="222"/>
        </w:trPr>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40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260" w:type="dxa"/>
            <w:vAlign w:val="bottom"/>
            <w:tcBorders>
              <w:top w:val="single" w:sz="8" w:color="0000EE"/>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188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820" w:type="dxa"/>
            <w:vAlign w:val="bottom"/>
            <w:tcBorders>
              <w:top w:val="single" w:sz="8" w:color="0000EE"/>
              <w:bottom w:val="single" w:sz="8" w:color="CCEEFF"/>
            </w:tcBorders>
            <w:shd w:val="clear" w:color="auto" w:fill="CCEEFF"/>
          </w:tcPr>
          <w:p>
            <w:pPr>
              <w:spacing w:after="0"/>
              <w:rPr>
                <w:sz w:val="18"/>
                <w:szCs w:val="18"/>
                <w:color w:val="auto"/>
              </w:rPr>
            </w:pPr>
          </w:p>
        </w:tc>
        <w:tc>
          <w:tcPr>
            <w:tcW w:w="1300" w:type="dxa"/>
            <w:vAlign w:val="bottom"/>
            <w:tcBorders>
              <w:top w:val="single" w:sz="8" w:color="0000EE"/>
              <w:bottom w:val="single" w:sz="8" w:color="CCEEFF"/>
            </w:tcBorders>
            <w:shd w:val="clear" w:color="auto" w:fill="CCEEFF"/>
          </w:tcPr>
          <w:p>
            <w:pPr>
              <w:spacing w:after="0"/>
              <w:rPr>
                <w:sz w:val="18"/>
                <w:szCs w:val="18"/>
                <w:color w:val="auto"/>
              </w:rPr>
            </w:pPr>
          </w:p>
        </w:tc>
        <w:tc>
          <w:tcPr>
            <w:tcW w:w="720" w:type="dxa"/>
            <w:vAlign w:val="bottom"/>
            <w:tcBorders>
              <w:top w:val="single" w:sz="8" w:color="0000EE"/>
              <w:bottom w:val="single" w:sz="8" w:color="CCEEFF"/>
            </w:tcBorders>
            <w:shd w:val="clear" w:color="auto" w:fill="CCEEFF"/>
          </w:tcPr>
          <w:p>
            <w:pPr>
              <w:spacing w:after="0"/>
              <w:rPr>
                <w:sz w:val="18"/>
                <w:szCs w:val="18"/>
                <w:color w:val="auto"/>
              </w:rPr>
            </w:pPr>
          </w:p>
        </w:tc>
        <w:tc>
          <w:tcPr>
            <w:tcW w:w="138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13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rPr>
                <w:sz w:val="17"/>
                <w:szCs w:val="17"/>
                <w:color w:val="auto"/>
              </w:rPr>
            </w:pPr>
          </w:p>
        </w:tc>
        <w:tc>
          <w:tcPr>
            <w:tcW w:w="99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 (Unaudited)</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Quantitative and Qualitative Disclosures about Market Risk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6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9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Unregistered Sales of Equity Securities and 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Defaults Upon Senior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Mine Safety Disclosures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9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934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0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432"/>
        </w:trPr>
        <w:tc>
          <w:tcPr>
            <w:tcW w:w="6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8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13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3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uncertainties and assumptions regarding any continuing impact of the COVID-19 pandemic on our business, operations, clinical trials, supply chain, strategy, goals and anticipated timelines,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and any statements of assumptions underlying any of the foregoing. In some cases, forward-looking statements can be identified using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future financial condition and results of operations, as well as any forward-looking statements, are subject to inherent risks and uncertainties, including, but not limited to, the inherent uncertainty in the drug development process, our ability to raise additional capital to fund our planned future operations, our ability to obtain or maintain U.S. Food and Drug Administration (“FDA”) and foreign regulatory approvals for our drug candidates, our ability to enroll patients in our clinical trials, risks relating to third parties’ conduct of our clinical trials, risks relating to government, private health insurers and other third-party payers coverage or reimbursement, risks relating to commercial potential of a drug candidate in development, changes in technologies for the treatment of cancer, impact of development of competitive drug candidates by others, risks relating to intellectual property, volatility in the market price of our common stock, potential inability to maintain compliance with The Nasdaq Marketplace Rules and the impact of adverse capital and credit market conditions. These and other risks and assumptions are described in Item 1A. Risk Factors in our Annual Report on Form 10-K for the fiscal year ended December 31, 2025, and in other documents that we file or furnish with the Securities and Exchange Commission. Should one or more of these risks or uncertainties materialize, or should underlying assumptions prove incorrect, actual results may vary materially from those indicated or anticipated by such forward-looking statements. All forward-looking statements speak only as of the date they are made, and we do not intend to update or revise any forward-looking statements even if new information becomes available in the future, except as required by law or applicable regulations.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in this Quarterly Report on Form 10-Q, the “Company,” “Imunon,” “we,” “us,” and “our” refer to Imunon, Inc., a Delaware corporation and its wholly owned subsidiary.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brand and product names contained in this document are trademarks, registered trademarks, or service marks of Imunon, Inc. or its subsidiary in the United States (“U.S.”) and certain other countries. This document also contains references to trademarks and service marks of other companies that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4,794,070</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8,781,059</w:t>
            </w: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and deposits on clinical programs and other current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1,826,815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1,942,685</w:t>
            </w:r>
          </w:p>
        </w:tc>
      </w:tr>
      <w:tr>
        <w:trPr>
          <w:trHeight w:val="209"/>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6,620,885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10,723,744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(at cost, less accumulated depreciation and amortization)</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459,936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529,936</w:t>
            </w:r>
          </w:p>
        </w:tc>
      </w:tr>
      <w:tr>
        <w:trPr>
          <w:trHeight w:val="209"/>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887,892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984,436</w:t>
            </w: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09"/>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937,892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1,034,436</w:t>
            </w:r>
          </w:p>
        </w:tc>
        <w:tc>
          <w:tcPr>
            <w:tcW w:w="100" w:type="dxa"/>
            <w:vAlign w:val="bottom"/>
            <w:tcBorders>
              <w:bottom w:val="single" w:sz="8" w:color="CCEEFF"/>
            </w:tcBorders>
          </w:tcPr>
          <w:p>
            <w:pPr>
              <w:spacing w:after="0"/>
              <w:rPr>
                <w:sz w:val="18"/>
                <w:szCs w:val="18"/>
                <w:color w:val="auto"/>
              </w:rPr>
            </w:pPr>
          </w:p>
        </w:tc>
      </w:tr>
      <w:tr>
        <w:trPr>
          <w:trHeight w:val="210"/>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8,018,713</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12,288,116</w:t>
            </w:r>
          </w:p>
        </w:tc>
      </w:tr>
      <w:tr>
        <w:trPr>
          <w:trHeight w:val="20"/>
        </w:trPr>
        <w:tc>
          <w:tcPr>
            <w:tcW w:w="6980" w:type="dxa"/>
            <w:vAlign w:val="bottom"/>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080" w:type="dxa"/>
            <w:vAlign w:val="bottom"/>
            <w:gridSpan w:val="5"/>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the unaudited condensed consolidated financial statements</w:t>
            </w: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Borders>
              <w:bottom w:val="single" w:sz="8" w:color="auto"/>
            </w:tcBorders>
          </w:tcPr>
          <w:p>
            <w:pPr>
              <w:jc w:val="center"/>
              <w:ind w:left="419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8"/>
              </w:rPr>
              <w:t>(Continued)</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964,590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1,392,829</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2,782,740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2,824,646</w:t>
            </w: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418,903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406,354</w:t>
            </w:r>
          </w:p>
        </w:tc>
      </w:tr>
      <w:tr>
        <w:trPr>
          <w:trHeight w:val="210"/>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4,166,233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4,623,829</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 non-current portion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492,849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602,411</w:t>
            </w: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4,659,082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5,226,240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 $0.01 par value (100,000 shares authorized, and no shares issued or</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2026 and December 31, 2025</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$0.01 par value (350,000,000 shares authorized; 3,922,766 and 3,419,652</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at March 31, 2026 and December 31, 2025, respectively; and 3,922,764 and</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3,419,650 shares outstanding at March 31, 2026 and December 31, 2025, respectively)</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39,228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34,197</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428,952,685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428,410,939</w:t>
            </w:r>
          </w:p>
        </w:tc>
      </w:tr>
      <w:tr>
        <w:trPr>
          <w:trHeight w:val="23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(425,547,094)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(421,298,072)</w:t>
            </w: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before treasury stock</w:t>
            </w: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3,444,819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7,147,064</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(2 shares at March 31, 2026 and December 31, 2025)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(85,188)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(85,188)</w:t>
            </w:r>
          </w:p>
        </w:tc>
      </w:tr>
      <w:tr>
        <w:trPr>
          <w:trHeight w:val="209"/>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3,359,631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7,061,876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8,018,713</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12,288,116</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100" w:type="dxa"/>
            <w:vAlign w:val="bottom"/>
            <w:gridSpan w:val="5"/>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the unaudited condensed consolidated financial statements</w:t>
            </w: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Borders>
              <w:bottom w:val="single" w:sz="8" w:color="auto"/>
            </w:tcBorders>
          </w:tcPr>
          <w:p>
            <w:pPr>
              <w:jc w:val="center"/>
              <w:ind w:left="4190"/>
              <w:spacing w:after="0"/>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4460" w:type="dxa"/>
            <w:vAlign w:val="bottom"/>
            <w:gridSpan w:val="2"/>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660" w:type="dxa"/>
            <w:vAlign w:val="bottom"/>
          </w:tcPr>
          <w:p>
            <w:pPr>
              <w:spacing w:after="0"/>
              <w:rPr>
                <w:sz w:val="24"/>
                <w:szCs w:val="24"/>
                <w:color w:val="auto"/>
              </w:rPr>
            </w:pPr>
          </w:p>
        </w:tc>
        <w:tc>
          <w:tcPr>
            <w:tcW w:w="4460" w:type="dxa"/>
            <w:vAlign w:val="bottom"/>
            <w:gridSpan w:val="2"/>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4460" w:type="dxa"/>
            <w:vAlign w:val="bottom"/>
            <w:gridSpan w:val="2"/>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STATEMENTS OF OPERATIONS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660" w:type="dxa"/>
            <w:vAlign w:val="bottom"/>
          </w:tcPr>
          <w:p>
            <w:pPr>
              <w:spacing w:after="0"/>
              <w:rPr>
                <w:sz w:val="20"/>
                <w:szCs w:val="20"/>
                <w:color w:val="auto"/>
              </w:rPr>
            </w:pPr>
          </w:p>
        </w:tc>
        <w:tc>
          <w:tcPr>
            <w:tcW w:w="4460" w:type="dxa"/>
            <w:vAlign w:val="bottom"/>
            <w:gridSpan w:val="2"/>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260" w:type="dxa"/>
            <w:vAlign w:val="bottom"/>
            <w:gridSpan w:val="7"/>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3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3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6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2,337,308</w:t>
            </w: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2,165,092</w:t>
            </w:r>
          </w:p>
        </w:tc>
      </w:tr>
      <w:tr>
        <w:trPr>
          <w:trHeight w:val="230"/>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1,969,244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1,980,207</w:t>
            </w:r>
          </w:p>
        </w:tc>
      </w:tr>
      <w:tr>
        <w:trPr>
          <w:trHeight w:val="209"/>
        </w:trPr>
        <w:tc>
          <w:tcPr>
            <w:tcW w:w="3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3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4,306,552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4,145,299</w:t>
            </w:r>
          </w:p>
        </w:tc>
        <w:tc>
          <w:tcPr>
            <w:tcW w:w="100" w:type="dxa"/>
            <w:vAlign w:val="bottom"/>
            <w:tcBorders>
              <w:bottom w:val="single" w:sz="8" w:color="CCEEFF"/>
            </w:tcBorders>
          </w:tcPr>
          <w:p>
            <w:pPr>
              <w:spacing w:after="0"/>
              <w:rPr>
                <w:sz w:val="18"/>
                <w:szCs w:val="18"/>
                <w:color w:val="auto"/>
              </w:rPr>
            </w:pPr>
          </w:p>
        </w:tc>
      </w:tr>
      <w:tr>
        <w:trPr>
          <w:trHeight w:val="209"/>
        </w:trPr>
        <w:tc>
          <w:tcPr>
            <w:tcW w:w="36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(4,306,552)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(4,145,299)</w:t>
            </w:r>
          </w:p>
        </w:tc>
      </w:tr>
      <w:tr>
        <w:trPr>
          <w:trHeight w:val="209"/>
        </w:trPr>
        <w:tc>
          <w:tcPr>
            <w:tcW w:w="366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income, net</w:t>
            </w:r>
          </w:p>
        </w:tc>
        <w:tc>
          <w:tcPr>
            <w:tcW w:w="3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57,530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42,804</w:t>
            </w:r>
          </w:p>
        </w:tc>
      </w:tr>
      <w:tr>
        <w:trPr>
          <w:trHeight w:val="209"/>
        </w:trPr>
        <w:tc>
          <w:tcPr>
            <w:tcW w:w="3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46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(4,249,022)</w:t>
            </w: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(4,102,495)</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36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3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5,028,764</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1,300,944</w:t>
            </w:r>
          </w:p>
        </w:tc>
      </w:tr>
      <w:tr>
        <w:trPr>
          <w:trHeight w:val="197"/>
        </w:trPr>
        <w:tc>
          <w:tcPr>
            <w:tcW w:w="3660" w:type="dxa"/>
            <w:vAlign w:val="bottom"/>
            <w:tcBorders>
              <w:top w:val="single" w:sz="8" w:color="CCEEFF"/>
            </w:tcBorders>
            <w:shd w:val="clear" w:color="auto" w:fill="CCEEFF"/>
          </w:tcPr>
          <w:p>
            <w:pPr>
              <w:spacing w:after="0"/>
              <w:rPr>
                <w:sz w:val="17"/>
                <w:szCs w:val="17"/>
                <w:color w:val="auto"/>
              </w:rPr>
            </w:pPr>
          </w:p>
        </w:tc>
        <w:tc>
          <w:tcPr>
            <w:tcW w:w="3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446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(0.84)</w:t>
            </w: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(3.15)</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4140" w:type="dxa"/>
            <w:vAlign w:val="bottom"/>
            <w:gridSpan w:val="2"/>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980" w:type="dxa"/>
            <w:vAlign w:val="bottom"/>
          </w:tcPr>
          <w:p>
            <w:pPr>
              <w:spacing w:after="0"/>
              <w:rPr>
                <w:sz w:val="24"/>
                <w:szCs w:val="24"/>
                <w:color w:val="auto"/>
              </w:rPr>
            </w:pPr>
          </w:p>
        </w:tc>
        <w:tc>
          <w:tcPr>
            <w:tcW w:w="4140" w:type="dxa"/>
            <w:vAlign w:val="bottom"/>
            <w:gridSpan w:val="2"/>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80" w:type="dxa"/>
            <w:vAlign w:val="bottom"/>
          </w:tcPr>
          <w:p>
            <w:pPr>
              <w:spacing w:after="0"/>
              <w:rPr>
                <w:sz w:val="18"/>
                <w:szCs w:val="18"/>
                <w:color w:val="auto"/>
              </w:rPr>
            </w:pPr>
          </w:p>
        </w:tc>
        <w:tc>
          <w:tcPr>
            <w:tcW w:w="4140" w:type="dxa"/>
            <w:vAlign w:val="bottom"/>
            <w:gridSpan w:val="2"/>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STATEMENTS OF CASH FLOWS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980" w:type="dxa"/>
            <w:vAlign w:val="bottom"/>
          </w:tcPr>
          <w:p>
            <w:pPr>
              <w:spacing w:after="0"/>
              <w:rPr>
                <w:sz w:val="20"/>
                <w:szCs w:val="20"/>
                <w:color w:val="auto"/>
              </w:rPr>
            </w:pPr>
          </w:p>
        </w:tc>
        <w:tc>
          <w:tcPr>
            <w:tcW w:w="4140" w:type="dxa"/>
            <w:vAlign w:val="bottom"/>
            <w:gridSpan w:val="2"/>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9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260" w:type="dxa"/>
            <w:vAlign w:val="bottom"/>
            <w:gridSpan w:val="7"/>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38"/>
        </w:trPr>
        <w:tc>
          <w:tcPr>
            <w:tcW w:w="39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80" w:type="dxa"/>
            <w:vAlign w:val="bottom"/>
            <w:tcBorders>
              <w:bottom w:val="single" w:sz="8" w:color="CCEEFF"/>
            </w:tcBorders>
          </w:tcPr>
          <w:p>
            <w:pPr>
              <w:spacing w:after="0"/>
              <w:rPr>
                <w:sz w:val="19"/>
                <w:szCs w:val="19"/>
                <w:color w:val="auto"/>
              </w:rPr>
            </w:pPr>
          </w:p>
        </w:tc>
        <w:tc>
          <w:tcPr>
            <w:tcW w:w="30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14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7"/>
              </w:rPr>
              <w:t>(4,249,022)</w:t>
            </w: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(4,102,495)</w:t>
            </w:r>
          </w:p>
        </w:tc>
      </w:tr>
      <w:tr>
        <w:trPr>
          <w:trHeight w:val="216"/>
        </w:trPr>
        <w:tc>
          <w:tcPr>
            <w:tcW w:w="698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70,000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66,681</w:t>
            </w: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96,544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131,246</w:t>
            </w:r>
          </w:p>
        </w:tc>
      </w:tr>
      <w:tr>
        <w:trPr>
          <w:trHeight w:val="216"/>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548,590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204,533</w:t>
            </w: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changes in:</w:t>
            </w:r>
          </w:p>
        </w:tc>
        <w:tc>
          <w:tcPr>
            <w:tcW w:w="3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Advances, deposits, and other current assets</w:t>
            </w:r>
          </w:p>
        </w:tc>
        <w:tc>
          <w:tcPr>
            <w:tcW w:w="3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115,870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(84,008)</w:t>
            </w:r>
          </w:p>
        </w:tc>
      </w:tr>
      <w:tr>
        <w:trPr>
          <w:trHeight w:val="230"/>
        </w:trPr>
        <w:tc>
          <w:tcPr>
            <w:tcW w:w="3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(567,158)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936,992</w:t>
            </w:r>
          </w:p>
        </w:tc>
      </w:tr>
      <w:tr>
        <w:trPr>
          <w:trHeight w:val="209"/>
        </w:trPr>
        <w:tc>
          <w:tcPr>
            <w:tcW w:w="398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0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(3,985,176</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(2,847,051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39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(259,652)</w:t>
            </w:r>
          </w:p>
        </w:tc>
      </w:tr>
      <w:tr>
        <w:trPr>
          <w:trHeight w:val="210"/>
        </w:trPr>
        <w:tc>
          <w:tcPr>
            <w:tcW w:w="398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(259,652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39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57" w:right="339" w:bottom="1440" w:gutter="0" w:footer="0" w:header="0"/>
        </w:sectPr>
      </w:pPr>
    </w:p>
    <w:p>
      <w:pPr>
        <w:jc w:val="right"/>
        <w:ind w:right="326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ind w:right="3260"/>
        <w:spacing w:after="0"/>
        <w:rPr>
          <w:sz w:val="20"/>
          <w:szCs w:val="20"/>
          <w:color w:val="auto"/>
        </w:rPr>
      </w:pPr>
      <w:r>
        <w:rPr>
          <w:rFonts w:ascii="Times New Roman" w:cs="Times New Roman" w:eastAsia="Times New Roman" w:hAnsi="Times New Roman"/>
          <w:sz w:val="18"/>
          <w:szCs w:val="18"/>
          <w:color w:val="auto"/>
        </w:rPr>
        <w:t>Exercise of pre-funded warrants, net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Proceeds from sale of common stock equity, net of issuance costs</w:t>
      </w:r>
    </w:p>
    <w:p>
      <w:pPr>
        <w:spacing w:after="0" w:line="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(1,813)</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105,692</w:t>
            </w:r>
          </w:p>
        </w:tc>
      </w:tr>
      <w:tr>
        <w:trPr>
          <w:trHeight w:val="210"/>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105,692</w:t>
            </w:r>
          </w:p>
        </w:tc>
      </w:tr>
    </w:tbl>
    <w:p>
      <w:pPr>
        <w:spacing w:after="0" w:line="200" w:lineRule="exact"/>
        <w:rPr>
          <w:sz w:val="20"/>
          <w:szCs w:val="20"/>
          <w:color w:val="auto"/>
        </w:rPr>
      </w:pPr>
    </w:p>
    <w:p>
      <w:pPr>
        <w:sectPr>
          <w:pgSz w:w="11900" w:h="16838" w:orient="portrait"/>
          <w:cols w:equalWidth="0" w:num="2">
            <w:col w:w="6260" w:space="720"/>
            <w:col w:w="4260"/>
          </w:cols>
          <w:pgMar w:left="320" w:top="657"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6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(3,986,989)</w:t>
            </w:r>
          </w:p>
        </w:tc>
        <w:tc>
          <w:tcPr>
            <w:tcW w:w="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(3,001,011)</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62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8,781,059</w:t>
            </w:r>
          </w:p>
        </w:tc>
        <w:tc>
          <w:tcPr>
            <w:tcW w:w="62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5,872,767</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 at end of period</w:t>
            </w: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4,794,070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2,871,756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02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52"/>
        </w:trPr>
        <w:tc>
          <w:tcPr>
            <w:tcW w:w="3500" w:type="dxa"/>
            <w:vAlign w:val="bottom"/>
          </w:tcPr>
          <w:p>
            <w:pPr>
              <w:spacing w:after="0"/>
              <w:rPr>
                <w:sz w:val="21"/>
                <w:szCs w:val="21"/>
                <w:color w:val="auto"/>
              </w:rPr>
            </w:pPr>
          </w:p>
        </w:tc>
        <w:tc>
          <w:tcPr>
            <w:tcW w:w="202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88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92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90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0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5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7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2026</w:t>
            </w:r>
          </w:p>
        </w:tc>
        <w:tc>
          <w:tcPr>
            <w:tcW w:w="92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3,419,650</w:t>
            </w:r>
          </w:p>
        </w:tc>
        <w:tc>
          <w:tcPr>
            <w:tcW w:w="1100" w:type="dxa"/>
            <w:vAlign w:val="bottom"/>
            <w:tcBorders>
              <w:right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$ 34,197</w:t>
            </w: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$ 428,410,939</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 (85,188)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 (421,298,072)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7,061,876</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7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(4,249,022)</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(4,249,022)</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7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503,114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5,031</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(6,844)</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7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548,590</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548,590</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 (unaudited)</w:t>
            </w:r>
          </w:p>
        </w:tc>
        <w:tc>
          <w:tcPr>
            <w:tcW w:w="7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500" w:type="dxa"/>
            <w:vAlign w:val="bottom"/>
            <w:vMerge w:val="continue"/>
            <w:shd w:val="clear" w:color="auto" w:fill="CCEEFF"/>
          </w:tcPr>
          <w:p>
            <w:pPr>
              <w:spacing w:after="0"/>
              <w:rPr>
                <w:sz w:val="24"/>
                <w:szCs w:val="24"/>
                <w:color w:val="auto"/>
              </w:rPr>
            </w:pPr>
          </w:p>
        </w:tc>
        <w:tc>
          <w:tcPr>
            <w:tcW w:w="92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3,922,764</w:t>
            </w:r>
          </w:p>
        </w:tc>
        <w:tc>
          <w:tcPr>
            <w:tcW w:w="1100" w:type="dxa"/>
            <w:vAlign w:val="bottom"/>
            <w:tcBorders>
              <w:right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$ 39,228</w:t>
            </w: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428,952,685</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 (85,188)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 (425,547,094)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3,359,631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500" w:type="dxa"/>
            <w:vAlign w:val="bottom"/>
          </w:tcPr>
          <w:p>
            <w:pPr>
              <w:spacing w:after="0"/>
              <w:rPr>
                <w:sz w:val="24"/>
                <w:szCs w:val="24"/>
                <w:color w:val="auto"/>
              </w:rPr>
            </w:pPr>
          </w:p>
        </w:tc>
        <w:tc>
          <w:tcPr>
            <w:tcW w:w="202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52"/>
        </w:trPr>
        <w:tc>
          <w:tcPr>
            <w:tcW w:w="3500" w:type="dxa"/>
            <w:vAlign w:val="bottom"/>
          </w:tcPr>
          <w:p>
            <w:pPr>
              <w:spacing w:after="0"/>
              <w:rPr>
                <w:sz w:val="21"/>
                <w:szCs w:val="21"/>
                <w:color w:val="auto"/>
              </w:rPr>
            </w:pPr>
          </w:p>
        </w:tc>
        <w:tc>
          <w:tcPr>
            <w:tcW w:w="202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88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920" w:type="dxa"/>
            <w:vAlign w:val="bottom"/>
            <w:tcBorders>
              <w:top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90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0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5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7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2025</w:t>
            </w:r>
          </w:p>
        </w:tc>
        <w:tc>
          <w:tcPr>
            <w:tcW w:w="82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966,712</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w:t>
            </w:r>
          </w:p>
        </w:tc>
        <w:tc>
          <w:tcPr>
            <w:tcW w:w="260" w:type="dxa"/>
            <w:vAlign w:val="bottom"/>
            <w:tcBorders>
              <w:right w:val="single" w:sz="8" w:color="CCEEFF"/>
            </w:tcBorders>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$ 411,122,863</w:t>
            </w:r>
          </w:p>
        </w:tc>
        <w:tc>
          <w:tcPr>
            <w:tcW w:w="280" w:type="dxa"/>
            <w:vAlign w:val="bottom"/>
            <w:tcBorders>
              <w:right w:val="single" w:sz="8" w:color="CCEEFF"/>
            </w:tcBorders>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 (85,188)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 (406,803,044)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4,244,298</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7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(4,102,495)</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(4,102,495)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7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 equity financing</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facilities, net of issuance costs</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105,612</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105,692</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7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204,533</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204,533</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 (unaudited)</w:t>
            </w:r>
          </w:p>
        </w:tc>
        <w:tc>
          <w:tcPr>
            <w:tcW w:w="740" w:type="dxa"/>
            <w:vAlign w:val="bottom"/>
            <w:tcBorders>
              <w:lef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500" w:type="dxa"/>
            <w:vAlign w:val="bottom"/>
            <w:vMerge w:val="continue"/>
            <w:shd w:val="clear" w:color="auto" w:fill="CCEEFF"/>
          </w:tcPr>
          <w:p>
            <w:pPr>
              <w:spacing w:after="0"/>
              <w:rPr>
                <w:sz w:val="24"/>
                <w:szCs w:val="24"/>
                <w:color w:val="auto"/>
              </w:rPr>
            </w:pPr>
          </w:p>
        </w:tc>
        <w:tc>
          <w:tcPr>
            <w:tcW w:w="7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974,718</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260" w:type="dxa"/>
            <w:vAlign w:val="bottom"/>
            <w:tcBorders>
              <w:right w:val="single" w:sz="8" w:color="CCEEFF"/>
            </w:tcBorders>
            <w:shd w:val="clear" w:color="auto" w:fill="CCEEFF"/>
          </w:tcPr>
          <w:p>
            <w:pPr>
              <w:spacing w:after="0"/>
              <w:rPr>
                <w:sz w:val="24"/>
                <w:szCs w:val="24"/>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$ 411,433,008</w:t>
            </w:r>
          </w:p>
        </w:tc>
        <w:tc>
          <w:tcPr>
            <w:tcW w:w="280" w:type="dxa"/>
            <w:vAlign w:val="bottom"/>
            <w:tcBorders>
              <w:right w:val="single" w:sz="8" w:color="CCEEFF"/>
            </w:tcBorders>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 (85,188)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 (410,905,539)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452,028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gridSpan w:val="3"/>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080" w:type="dxa"/>
            <w:vAlign w:val="bottom"/>
            <w:gridSpan w:val="16"/>
          </w:tcPr>
          <w:p>
            <w:pPr>
              <w:ind w:left="2300"/>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Description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 Inc. (“Imunon” , the “Company”, “we”, “our”, or “us”)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 conventional therapies. Imunon is developing its non-viral DNA technology across its modalities. The first modality, TheraPlas®, is developed for the coding of proteins and cytokines in the treatment of solid tumors where an immunological approach is deemed promising. The second modality, PlaCCine®, is developed for the coding of viral antigens that can elicit a strong immunological response. This technology may represent a promising platform for the development of vaccines in infectious diseases.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lead clinical program, IMNN-001, is a DNA-based immunotherapy for the localized treatment of advanced ovarian cancer that has completed multiple clinical trials including one Phase II clinical trial (OVATION 2) and is currently conducting a Phase 3 clinical trial (OVATION 3). IMNN-001 works by instructing the body to produce safe and durable levels of powerful cancer-fighting molecules, such as interleukin-12 and interferon gamma, at the tumor site. Additionally, the Company has completed dosing in a first-in-human study of its COVID-19 booster vaccine (IMNN-101). The Company will continue to leverage these modalities and to advance, either directly or through partnership, the technological frontier of plasmid DNA to better serve patients with difficult-to-treat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which include the accounts of the Company and its wholly owned subsidiaries, have been prepared in accordance with generally accepted accounting principles in the United States (“GAAP”) for interim financial information and with the instructions to Form 10-Q and Article 10 of Regulation S-X. All significant intercompany balances and transactions have been eliminated in consolidation. During the quarter ended March 31, 2026, there were no changes to the Company’s accounting policies. Certain information and disclosures normally included in financial statements prepared in accordance with GAAP have been condensed or omitted pursuant to such rules and regulations.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 months ended March 31, 2026, and 2025 are not necessarily indicative of the results that may be expected for any other interim period(s) or for any full year. For further information, refer to the consolidated financial statements and notes thereto included in the Company’s Annual Report on Form 10-K for the fiscal year ended December 31, 2025, filed with the Securities and Exchange Commission on March 31, 2026.</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judgments, estimates, and assumptions that affect the amounts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included in our 2025 Annual Report on Form 10-K for the year ended December 31, 2025 filed with the SEC on March 31, 2026. See Note 3 to the Condensed Consolidated Financial Statements contained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Uncertainty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drug candidates, and applications and submissions to the FDA. The Company has not generated significant revenue and has incurred significant net losses in each year since inception. For the quarter ended March 31, 2026, the Company had a net loss of $4.2 million and used $4.0 million to fund operations. As of March 31, 2026, the Company has incurred approximately $426 million of cumulative net losses and had $4.8 million in cash and cash equivalents to fund its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and worldwide resulting from the recent tariff announcement by the U.S. federal government, the Russian invasion of Ukraine and the unrest in the Middle East. The Company continues to monitor its operating activities in light of these events, and it is possible that these events could result in a variety of risks to the business. The specific impact, if any, is not readily determinable as of the date of these unaudited condensed consolidated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and other sources. If the Company raises funds by selling additional shares of common stock or other securities convertible into common stock, the ownership interest of existing stockholders may be diluted.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actual amount of funds the Company will need to operate is subject to many factors, some of which are beyond the Company’s control. These factors include the progress of research activities; the number and scope of research programs; the progress of preclinical and clinical development activities; the progress of the development efforts of parties with whom the Company has entered into research and development agreements; the costs associated with additional clinical trials of drug candidates; the ability to maintain current research and development licensing arrangements and to establish new research and development and licensing arrangements; the ability to achieve milestones under licensing arrangements; the costs involved in prosecuting and enforcing patent claims and other intellectual property rights; and the costs and timing of regulatory approvals.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fundamental component of the ability to continue as a going concern is the Company’s ability to raise capital as required, as to which no assurances can be provided. To address the additional funding requirements of the Company, management has undertaken the following initiatives:</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assessed its current expenditures and will reduce spending where necessary;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additional capital funding in the public and private markets through equity sales and/or debt facilities;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possible partnerships and collaborations;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potential out licensing for its drug candidates.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ability to continue as a going concern will depend on its ability to raise additional capital, attain further operating efficiencies, reduce expenditures, and, ultimately, to generate revenue. There are no assurances that these future funding and operating efforts will be successful. If management is unsuccessful in these efforts, the Company’s current capital is not expected to be sufficient to fund operations for the next twelve months.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conditions raise substantial doubts about the Company’s ability to continue as a going concern. Based on the above, management has determined there is substantial doubt regarding our ability to continue as a going concern. The report of our independent registered public accounting firm for the year ended December 31, 2025, includes an explanatory paragraph which expresses substantial doubt about our ability to continue as a going concern.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plan includes private or public equity financings, collaborations, or other strategic transactions such as raising funds from outside investors via its ATM program and other potential funding sources. The Company may not be able to obtain funding on acceptable terms, or at all. The terms of any financing may adversely affect the holdings or the rights of the Company’s stockholders. The Company’s ability to raise additional funds will depend, among other factors, on financial, economic and market conditions, many of which are outside of its control, and it may be unable to raise financing when needed, or on terms favorable to the Company. If the Company is unable to obtain sufficient capital to fund its operations it may be required to evaluate alternatives. The Company’s condensed consolidated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New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are adopted by the Company as of the specified effective date. Unless otherwise discussed, the Company believes that the impact of recently issued accounting pronouncements will not have a material impact on the Company’s consolidated financial position, results of operations, and cash flows, or do not apply to its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Disaggregation of Income Statement Expenses” (“ASU 2024-03”). ASU 2024-03 will require more detailed information about the types of expenses in commonly presented income statement captions such as “Cost of sales” and “Selling, general and administrative expenses”. The new guidance is effective for annual reporting periods beginning after December 15, 2026, and interim reporting periods beginning after December 15, 2027, with early adoption permitted. The Company is currently evaluating the impact, if any, this change will have on the Company’s disclosures.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2025, the FASB issued ASU 2025-11, “Narrow Scope Improvements” (“ASU 2025-11”) which is intended to improve the navigability of the guidance in Interim Reporting (Topic 270) and clarify when it applies. Under the amendments, an entity is subject to ASC 270 if it provides “interim financial statements and notes in accordance with GAAP.” ASU 2025-11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As the FASB stated in the proposed guidance and reiterates in 2025-11, the amendments are not intended to “change the fundamental nature of interim reporting or expand or reduce current interim disclosure requirements”. ASU 2025-11 is effective for interim reporting periods beginning after December 15, 2027, with early adoption permitted. The Company does not believe ASU 2025-11 will have a material effect on its consolidated financial statements.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the items noted above, there have been no new accounting pronouncements not yet effective or adopted in the current year that the Company believes have a material impact, or potential material impact, to its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Net Loss per Common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and diluted net loss per common share was computed by dividing net loss for the year by the weighted average number of shares of common stock outstanding, both basic and diluted, during each period. The impact of common stock equivalents has been excluded from the computation of diluted weighted average common shares outstanding in periods where there is a net loss, as their effect is anti-dilutive.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more fully described in Note 7 of these consolidated financial statements, the Company declared a 15% stock dividend that was distributed on August 21, 2025 to stockholders of record as of August 7, 2025. In accordance with ASC 260, basic and diluted earnings per share amounts and weighted-average shares outstanding have been restated for all periods presented to reflect the effect of this stock dividend. The Company did not pay any dividends during the first three months of 2026.</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more fully described in Note 7 of these consolidated financial statements, on December 31, 2025, the Company completed the sale of a security offering which included prefunded warrants to purchase up to 1,609,114 shares of the Company’s common stock for $0.01 per share of which 1,106,000 remained outstanding as of March 31, 2026. In accordance with ASC 260-10-45-13, these pre-funded warrants, sometimes referred to as penny stock warrants due to their low exercise price ($0.0001/share), are considered outstanding shares for purpose of calculating earnings per share for the three months ending March 31, 2026.</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ending March 31, 2026 and 2025, the total number of shares of common stock issuable upon exercise of warrants and equity awards was 3,165,420 and 475,807, respectively. For the three months ending March 31, 2026 and 2025, diluted loss per common share is the same as basic loss per common share as all options and all other warrants that were convertible into shares of the Company’s common stock were excluded from the calculation of diluted earnings attributable to common stockholders per common share as their effect would be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Performance Measures and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in one segment for the research and development of our product candidates. The Company’s chief operating decision maker (“CODM”) has been identified as the Chief Executive Officer and President, who reviews operating results to make decisions about allocating resources and assessing performance for the entire Company based on consolidated financial information. Consequently, we view the entire organization as one reportable segment and the strategic purpose of all operating activities (including general &amp; administrative expenses) is to support that one segment. As a pre-revenue research and development company, the CODM evaluates company-wide performance and allocates resources based on non-financial research and development milestones achieved, and to a lesser extent, financial measures of performance such as clinical development (research and development expenses) and general and administrative expenses incurred. Our CODM does not generally evaluate our performance using asset or historical cash flow information.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table below provides a summary of the significant expense categories and consolidated net loss details provided to the CODM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1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For the three months ending March 31,</w:t>
            </w:r>
          </w:p>
        </w:tc>
        <w:tc>
          <w:tcPr>
            <w:tcW w:w="1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7"/>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 Increase (Decrease)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Research</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 2 and MRD Trials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5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134</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(29)</w:t>
            </w:r>
          </w:p>
        </w:tc>
        <w:tc>
          <w:tcPr>
            <w:tcW w:w="1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OVATION 3 Trial</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4"/>
          </w:tcPr>
          <w:p>
            <w:pPr>
              <w:jc w:val="right"/>
              <w:ind w:right="241"/>
              <w:spacing w:after="0"/>
              <w:rPr>
                <w:sz w:val="20"/>
                <w:szCs w:val="20"/>
                <w:color w:val="auto"/>
              </w:rPr>
            </w:pPr>
            <w:r>
              <w:rPr>
                <w:rFonts w:ascii="Times New Roman" w:cs="Times New Roman" w:eastAsia="Times New Roman" w:hAnsi="Times New Roman"/>
                <w:sz w:val="18"/>
                <w:szCs w:val="18"/>
                <w:color w:val="auto"/>
              </w:rPr>
              <w:t>21</w:t>
            </w:r>
          </w:p>
        </w:tc>
        <w:tc>
          <w:tcPr>
            <w:tcW w:w="16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PlaCCine Vaccine Phase 1 Trial</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(55)</w:t>
            </w:r>
          </w:p>
        </w:tc>
        <w:tc>
          <w:tcPr>
            <w:tcW w:w="1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Clinical and Regulatory</w:t>
            </w:r>
          </w:p>
        </w:tc>
        <w:tc>
          <w:tcPr>
            <w:tcW w:w="32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574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4"/>
          </w:tcPr>
          <w:p>
            <w:pPr>
              <w:jc w:val="right"/>
              <w:ind w:right="241"/>
              <w:spacing w:after="0"/>
              <w:rPr>
                <w:sz w:val="20"/>
                <w:szCs w:val="20"/>
                <w:color w:val="auto"/>
              </w:rPr>
            </w:pPr>
            <w:r>
              <w:rPr>
                <w:rFonts w:ascii="Times New Roman" w:cs="Times New Roman" w:eastAsia="Times New Roman" w:hAnsi="Times New Roman"/>
                <w:sz w:val="18"/>
                <w:szCs w:val="18"/>
                <w:color w:val="auto"/>
              </w:rPr>
              <w:t>15</w:t>
            </w:r>
          </w:p>
        </w:tc>
        <w:tc>
          <w:tcPr>
            <w:tcW w:w="16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Non-Clinical R&amp;D and CMC</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 Program</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380</w:t>
            </w:r>
          </w:p>
        </w:tc>
        <w:tc>
          <w:tcPr>
            <w:tcW w:w="16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Manufacturing (CMC)</w:t>
            </w:r>
          </w:p>
        </w:tc>
        <w:tc>
          <w:tcPr>
            <w:tcW w:w="32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4"/>
          </w:tcPr>
          <w:p>
            <w:pPr>
              <w:jc w:val="right"/>
              <w:ind w:right="181"/>
              <w:spacing w:after="0"/>
              <w:rPr>
                <w:sz w:val="20"/>
                <w:szCs w:val="20"/>
                <w:color w:val="auto"/>
              </w:rPr>
            </w:pPr>
            <w:r>
              <w:rPr>
                <w:rFonts w:ascii="Times New Roman" w:cs="Times New Roman" w:eastAsia="Times New Roman" w:hAnsi="Times New Roman"/>
                <w:sz w:val="18"/>
                <w:szCs w:val="18"/>
                <w:color w:val="auto"/>
                <w:w w:val="97"/>
              </w:rPr>
              <w:t>(159)</w:t>
            </w: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2,338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2,165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173</w:t>
            </w:r>
          </w:p>
        </w:tc>
        <w:tc>
          <w:tcPr>
            <w:tcW w:w="16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1,980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4"/>
          </w:tcPr>
          <w:p>
            <w:pPr>
              <w:jc w:val="right"/>
              <w:ind w:right="181"/>
              <w:spacing w:after="0"/>
              <w:rPr>
                <w:sz w:val="20"/>
                <w:szCs w:val="20"/>
                <w:color w:val="auto"/>
              </w:rPr>
            </w:pPr>
            <w:r>
              <w:rPr>
                <w:rFonts w:ascii="Times New Roman" w:cs="Times New Roman" w:eastAsia="Times New Roman" w:hAnsi="Times New Roman"/>
                <w:sz w:val="18"/>
                <w:szCs w:val="18"/>
                <w:color w:val="auto"/>
              </w:rPr>
              <w:t>(11)</w:t>
            </w: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(4,307)</w:t>
            </w:r>
          </w:p>
        </w:tc>
        <w:tc>
          <w:tcPr>
            <w:tcW w:w="5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(4,145)</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gridSpan w:val="4"/>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(162)</w:t>
            </w:r>
          </w:p>
        </w:tc>
        <w:tc>
          <w:tcPr>
            <w:tcW w:w="1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Other Accrued 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 accrued liabilities at March 31, 2026 and December 31, 2025 include the following:</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contract research organizations and other contractual agreements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893,954</w:t>
            </w: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1,686,286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1,611,936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 franchise taxes and other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202,500</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211,500</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2,782,740</w:t>
            </w:r>
          </w:p>
        </w:tc>
        <w:tc>
          <w:tcPr>
            <w:tcW w:w="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340" w:type="dxa"/>
            <w:vAlign w:val="bottom"/>
            <w:tcBorders>
              <w:top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2,824,646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15, 2024, the Company filed with the U.S. Securities and Exchange Commission (“SEC”) a shelf registration statement on Form S-3 (the “2024 Registration Statement”) for the offer and sale of up to $75 million of its securities. The 2024 Registration Statement was declared effective on May 22, 2024. The 2024 Registration Statement is intended to provide the Company with flexibility to raise capital in the future for general corporate purposes. As noted in the prospectus supplement that the Company filed on July 22, 2025, the aggregate market value of outstanding Common Stock held by non-affiliates was approximately $79,075,969, based on 2,121,895 shares of Common Stock outstanding as of July 22, 2025, of which 2,100,291 shares were held by non-affiliates, and a price of $37.65 per share, which was the last reported sale price of Common Stock on The Nasdaq Stock Market LLC (“Nasdaq”) on June 2, 2025. As a result, the Company’s public float increased above $75.0 million, and the Company was no longer subject to the limitations contained in General Instruction I.B.6 of Form S-3. Upon the filing of the Form 10K on March 31, 2026, the Company’s public float was less than $75.0 million and as a result, the Company is subject to the limitations contained in General Instruction I.B.6 of Form S-3.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25, 2025, the Company effected a 15-for-1 reverse stock split of its common stock which was made effective for trading purposes as of 12:01 a.m. ET on July 25, 2025. As of that date, each 15 shares of issued and outstanding common stock and equivalents were consolidated into one share of common stock. All shares have been restated to reflect the effects of the 15-for-1 reverse stock split. In addition, at the market open on July 25, 2025, the Company’s common stock started trading under a new CUSIP number 15117N701 although the Company’s ticker symbol, IMNN, remained unchanged.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The reverse stock split was previously approved by the Company’s stockholders at the 2025 Annual Meeting held on July 11, 2025, and the Company subsequently filed a Certificate of Amendment to its Certificate of Incorporation to affect the stock consolidation. The primary reasons for the reverse stock split and the amendment are:</w:t>
      </w:r>
    </w:p>
    <w:p>
      <w:pPr>
        <w:spacing w:after="0" w:line="176" w:lineRule="exact"/>
        <w:rPr>
          <w:sz w:val="20"/>
          <w:szCs w:val="20"/>
          <w:color w:val="auto"/>
        </w:rPr>
      </w:pPr>
    </w:p>
    <w:p>
      <w:pPr>
        <w:jc w:val="both"/>
        <w:ind w:left="66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Company with the ability to support its anticipated future growth and would provide greater flexibility to consider and respond to future business opportunities and needs as they arise, including equity financings and stock-based acquisitions of new technology and product development candidates. The availability of additional shares of Common Stock would permit the Company to undertake certain of the foregoing actions without delay and expense associated with holding a Special Meeting of Stockholders to obtain stockholder approval each time such an opportunity arises that would require the issuance of shares of Common Stock; and</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listing on The NASDAQ Capital Market, which requires that the Company comply with the applicable listing requirements under NASDAQ Marketplace Rules, which requirements include, among others, a minimum bid price of at least $1.00 per share.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Immediately prior to the reverse stock split, the Company had 31,828,447 shares of common stock outstanding which consolidated into 2,121,942 shares of the Company’s common stock. No fractional shares were issued in connection with the reverse stock split. All fractional shares were rounded up to the nearest whole share. The reverse stock split did not impact the total authorized number of shares of common or preferred stock or the par value thereof. The number of outstanding options, stock awards and warrants were adjusted accordingly, with outstanding options and stock awards being reduced from approximately 1.9 million to approximately 0.1 million and outstanding warrants being reduced from approximately 12.7 million to approximately 0.8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 to Authorized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2025 Annual Meeting of Stockholders (the “Annual Meeting”) of the Company held on July 11, 2025, upon the recommendation of the Company’s board of directors, the Company’s stockholders voted on and approved an amendment to the Company’s Restated Certificate of Incorporation to increase the number of authorized shares of common stock from 112,500,000 shares to 350,000,000 shares, and to make a corresponding change to the number of authorized shares of capital stock. Such amendment became effective on July 11, 2025 upon filing with the Secretary of State of the State of Delaware.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Dividend</w:t>
      </w:r>
    </w:p>
    <w:p>
      <w:pPr>
        <w:spacing w:after="0" w:line="22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On July 28, 2025, the Company announced that the Company’s Board of Directors approved a 15% stock dividend, 0.15 shares of common stock (the “Stock Dividend”) per share of the Company’s issued and outstanding shares of common stock and per each common stock equivalent with dividend rights.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fixed August 7, 2025 as the record date (the “Record Date”) for the Stock Dividend, and the Stock Dividend was issued on August 21, 2025 to stockholders of record as of the Record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outstanding warrants were adjusted accordingly, with outstanding warrants increasing from approximately 0.8 million to approximately 1.0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At the Market Offering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May 15, 2024, the Company amended the At the Market Offering Agreement, dated as of May 25, 2022 (the “ATM Agreement”) with H.C. Wainwright</w:t>
      </w:r>
    </w:p>
    <w:p>
      <w:pPr>
        <w:spacing w:after="0" w:line="39" w:lineRule="exact"/>
        <w:rPr>
          <w:sz w:val="20"/>
          <w:szCs w:val="20"/>
          <w:color w:val="auto"/>
        </w:rPr>
      </w:pPr>
    </w:p>
    <w:p>
      <w:pPr>
        <w:jc w:val="both"/>
        <w:ind w:firstLine="8"/>
        <w:spacing w:after="0" w:line="253" w:lineRule="auto"/>
        <w:tabs>
          <w:tab w:leader="none" w:pos="1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LLC (“Wainwright”) as sales agent. Pursuant to the terms of the amended ATM Agreement, the Company may offer and sell, from time to time, through Wainwright, shares of the Company’s common stock having an aggregate offering price of up to $5,500,000. The Company intends to use the net proceeds from any offering under the amended ATM Agreement for general corporate purposes, including research and development activities, capital expenditures and working capital.</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2024, the Company notified Wainwright that it was suspending its use of and terminating the “at the market offering” sales agreement prospectus (the “ATM Prospectus”), related to the potential issuance from time to time of the Company’s common stock pursuant to the ATM Agreement, by and between the Company and Wainwright. Notwithstanding the termination of the ATM Prospectus, the ATM Agreement remains in full force and effect.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3, 2024, the Company filed a new prospectus supplement to the 2024 Registration Statement with the SEC for an aggregate offering price of up to $5,500,000 related to the potential issuance from time to time of the Company’s common stock pursuant to the ATM Agreement with Wainwright as sales agent.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both"/>
        <w:ind w:left="660" w:hanging="328"/>
        <w:spacing w:after="0" w:line="25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22, 2025, the Company filed a Prospectus Supplement to register an additional $4,500,000 of shares of the Company’s common stock, par value $0.01 per share issuable pursuant to the At the Market Offering Agreement, dated as of May 25, 2022, as amended by Amendment No. 1 to At the Market Offering Agreement, dated as of May 15, 2024 (as amended, the “Sales Agreement”), by and between the Company and H.C. Wainwright &amp; Co., LLC, as sales agent or principal (the “Sales Agent”). The Company previously registered the offer and sale of up to $5,500,000 of shares of Common Stock through the Sales Agent under the Sales Agreement. Prior to the date hereof, the Company has sold an aggregate of $1,815,267 shares of Common Stock through the Sales Agent under the Sales Agreement. Accordingly, the Prospectus Supplement covers an aggregate of $8,184,733 of Shares, consisting of $3,684,733 remaining of the amount originally registered and the additional $4,500,000 increase under the Prospectus Supplement.</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23, 2026, the Company filed a prospectus supplement (the “Prospectus Supplement”) to register an additional $7.000,000 of shares of the Company’s common stock, par value $0.01 per share issuable pursuant to the At the Market Offering Agreement, dated as of May 25, 2022, as amended by Amendment No. 1 to At the Market Offering Agreement, dated as of May 15, 2024 (as amended, the “Sales Agreement”), by and between the Company and H.C. Wainwright &amp; Co., LLC, as sales agent or principal (the “Sales Agent”). The Company previously registered the offer and sale of up to $10,000,000 of shares of Common Stock through the Sales Agent under the Sales Agreement. Prior to the date hereof, the Company has sold an aggregate of $4,797,848 shares of Common Stock through the Sales Agent under the Sales Agreement. Accordingly, the Prospectus Supplement covers an aggregate of $12,202,152 of Shares, consisting of $5,202.152 remaining of the amount originally registered and the additional $7,000,000 increase under the Prospectus Supplement.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the Company sold 744,646 shares of common stock under the ATM Agreement for net proceeds of $4,530,663. The Company did not sell any shares of common stock under the ATM Agreement during the first three months of 2026. Subsequent to March 31, 2026, and through the date of this report on Form 10Q, the Company sold 146,354 shares of common stock under the ATM Agreement for net proceeds of $417,447.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May 2025 Warrant Exchange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12, 2025, the Company entered into an exchange agreement (the “Agreement”) with the holders (the “Warrant Holders”) of certain warrants of the Company issued on August 1, 2024, which are exercisable for an aggregate of 333,334 shares of the Company’s common stock, par value $0.01 per share. Pursuant to the terms of the Agreement, the Company will issue to the Warrant Holders an aggregate of 194,734 shares of Common Stock (the “Warrant Exchange Shares”), on a one-for-one basis, in exchange for shares issuable under the Warrants (the “Warrant Exchange”), in reliance on an exemption from registration provided by Section 3(a)(9) of the Securities Act of 1933, as amended (the “Securities Act”). Pursuant to the Agreement, the Warrant Holders also agreed to waive the Company’s compliance with the provisions of Section 4.12(b) of the Securities Purchase Agreement, dated July 30, 2024, with respect to any Company Variable Rate Transaction (as defined in the Purchase Agreement) for a period of forty-five (45) days from the date of the Agreement and agreed to a lock up period on the Warrant Exchange Shares ending on the opening of trading on May 14, 2025. The Warrant Exchange closed on May 13, 2025. The number of Warrant Exchange Shares that will be issued pursuant to the Agreement will represent 19.98% of the shares of Common Stock outstanding as of the date of the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May 2025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23, 2025, the Company entered into a Securities Purchase Agreement with certain institutional and accredited investors, for the issuance and sale in a private placement of (i) 185,186 shares of the Company’s common stock, (ii) 296,297 of pre-funded warrants at an exercise price of $0.0001 per share and (iii) 962,964 warrants at an exercise price of $6.75 per share for gross proceeds of approximately $3.3 million before the deduction of placement agent fees and offering expenses.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Prefunded Warrants became exercisable immediately after issuance for a term of two and one-half years following the date of issuance. The Warrants will be exercisable upon receipt of such approval as may be required by the applicable rules and regulations of the Nasdaq Stock Market (or any successor entity) from the stockholders of the Company with respect to issuance of all of the Warrants and the shares of Common Stock upon the exercise thereof (“Stockholder Approval,” and such date, the “Stockholder Approval Date”) and have a term of three years. The prefunded warrants were exercised in full on June 16, 2025 and June 18,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issued to H.C. Wainwright &amp; Co., LLC warrants (the “Placement Agent Warrants”) to purchase up to an aggregate of 24,075 shares of common stock at an exercise price equal to $8.44 per share. The Placement Agent Warrants have substantially the same terms as the Warrants. The closing of the May 2025 Offering occurred on May 28, 2025. On July 11, 2025, the Company’s stockholders approved the issuance of the Warrants.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auto"/>
        </w:rPr>
        <w:t>December 2025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29, 2025, the Company entered into a Securities Purchase Agreement (the “December 2025 Purchase Agreement”) with a single healthcare-focused institutional investor (the “Purchaser”) for a registered direct offering (“the December 2025 Offering”) of (i) 330,000 shares of the Company’s common stock, (ii) pre-funded warrants (the “December 2025 Pre-funded Warrants”) in lieu of shares of the Company’s common stock, to the extent the Purchaser so chooses, to purchase up to 1,609,114 shares of the Company’s common stock (the “Pre-funded Warrant Shares”), and (iii) warrants (the “December 2025 Warrants”) to purchase up to 1,939,114 shares of the Company’s common stock. The closing of the December 2025 Offering was completed on December 31, 2025. The Maxim Group LLC acted as the lead placement agent for the December 2025 Offering. Brookline Capital Markets, a division of Arcadia Securities, LLC, acted as co-placement agent.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Shares and Warrants were sold at a combined offering price of $3.61 per share of the Company’s common stock and December 2025 Warrant. The December 2025 Pre-funded Warrants and Warrants are being sold at a combined offering price of $3.6099 per December 2025 Pre-funded Warrant and December 2025 Warrant. The December 2025 Pre-funded Warrants have an exercise price of $0.0001, were immediately exercisable and do not have an expiration date. The December 2025 Warrants have an exercise price of $3.482 per share and were immediately exercisable for a term of five years following the date of issuance. The Company cannot effect the exercise of any December 2025 Pre-funded Warrant or December 2025 Warrant, and a holder will not be entitled to exercise any portion of any December 2025 Pre-funded Warrant or December 2025 Warrant, if, upon giving effect to such exercise, the aggregate number of shares of Common Stock beneficially owned by the holder (together with its affiliates) would exceed 9.99% or 4.99%, respectively, of the number of shares of Common Stock outstanding immediately after giving effect to the exercise, which percentage may be increased or decreased at the holder’s election upon 61 days’ notice to the Company subject to the terms of such December 2025 Pre-funded Warrants or December 2025 Warrants, provided that such percentage may in no event exceed 19.99%.</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received gross proceeds of approximately $7.0 million from the December 2025 Offering, before deducting placement agent fees and other offering expenses payable by the Company. The Company plans to use the proceeds from the Offering for general corporate purposes, including research and development activities, capital expenditures and working capital. The December 2025 Purchase Agreement contains customary representations and warranties of the Company, on the one hand, and the Purchaser, on the other hand, and customary conditions to closing.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pre-funded warrants, and warrants issued and sold to the Purchaser under the December 2025 Purchase Agreement were offered and sold by the Company pursuant to an effective registration statement on Form S-3 (Registration No. 333-279425), as previously filed with and declared effective by the SEC and a related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2018 Annual Stockholders Meeting of the Company (“ASHM”) held on May 15, 2018, stockholders approved the Imunon, Inc. 2018 Stock Incentive Plan (the “2018 Plan”). The 2018 Plan, as originally adopted, permitted the granting of 12,000 shares of Imunon common stock as equity awards in the form of incentive stock options, nonqualified stock options, restricted stock, restricted stock units, stock appreciation rights, other stock awards, performance awards, or in any combination of the foregoing.</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Stockholders have since approved amendments to the 2018 Plan at the 2019 ASHM held on May 14, 2019, the 2020 ASHM held on June 15, 2020, the 2021 ASHM held on June 10, 2021, the 2023 ASHM held on June 14, 2023, and at the 2025 ASHM held on July 11, 2025. As of December 31, 2025, a total of 264,665 awards have been approved by the Company’s shareholders for issuance under the 2018 Plan, as amended. There are also 339 awards remaining under prior plans. Following is a schedule of the stock awards approved to the 2018 Plan, as amended:</w:t>
      </w:r>
    </w:p>
    <w:tbl>
      <w:tblPr>
        <w:tblLayout w:type="fixed"/>
        <w:tblInd w:w="580" w:type="dxa"/>
        <w:tblCellMar>
          <w:top w:w="0" w:type="dxa"/>
          <w:left w:w="0" w:type="dxa"/>
          <w:bottom w:w="0" w:type="dxa"/>
          <w:right w:w="0" w:type="dxa"/>
        </w:tblCellMar>
      </w:tblPr>
      <w:tr>
        <w:trPr>
          <w:trHeight w:val="196"/>
        </w:trPr>
        <w:tc>
          <w:tcPr>
            <w:tcW w:w="30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b w:val="1"/>
                <w:bCs w:val="1"/>
                <w:color w:val="auto"/>
                <w:w w:val="98"/>
              </w:rPr>
              <w:t>Shareholder</w:t>
            </w:r>
          </w:p>
        </w:tc>
        <w:tc>
          <w:tcPr>
            <w:tcW w:w="262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2018 Plan (as adopted</w:t>
            </w:r>
          </w:p>
        </w:tc>
        <w:tc>
          <w:tcPr>
            <w:tcW w:w="232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Cumulative</w:t>
            </w:r>
          </w:p>
        </w:tc>
      </w:tr>
      <w:tr>
        <w:trPr>
          <w:trHeight w:val="238"/>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Approval Event</w:t>
            </w:r>
          </w:p>
        </w:tc>
        <w:tc>
          <w:tcPr>
            <w:tcW w:w="2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and amended)</w:t>
            </w:r>
          </w:p>
        </w:tc>
        <w:tc>
          <w:tcPr>
            <w:tcW w:w="2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awards approved</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Approved</w:t>
            </w:r>
          </w:p>
        </w:tc>
      </w:tr>
      <w:tr>
        <w:trPr>
          <w:trHeight w:val="191"/>
        </w:trPr>
        <w:tc>
          <w:tcPr>
            <w:tcW w:w="2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2018 ASHM</w:t>
            </w:r>
          </w:p>
        </w:tc>
        <w:tc>
          <w:tcPr>
            <w:tcW w:w="22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2018 Plan Adoption</w:t>
            </w:r>
          </w:p>
        </w:tc>
        <w:tc>
          <w:tcPr>
            <w:tcW w:w="200" w:type="dxa"/>
            <w:vAlign w:val="bottom"/>
          </w:tcPr>
          <w:p>
            <w:pPr>
              <w:spacing w:after="0"/>
              <w:rPr>
                <w:sz w:val="16"/>
                <w:szCs w:val="16"/>
                <w:color w:val="auto"/>
              </w:rPr>
            </w:pPr>
          </w:p>
        </w:tc>
        <w:tc>
          <w:tcPr>
            <w:tcW w:w="2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12,000</w:t>
            </w:r>
          </w:p>
        </w:tc>
        <w:tc>
          <w:tcPr>
            <w:tcW w:w="200" w:type="dxa"/>
            <w:vAlign w:val="bottom"/>
          </w:tcPr>
          <w:p>
            <w:pPr>
              <w:spacing w:after="0"/>
              <w:rPr>
                <w:sz w:val="16"/>
                <w:szCs w:val="16"/>
                <w:color w:val="auto"/>
              </w:rPr>
            </w:pPr>
          </w:p>
        </w:tc>
        <w:tc>
          <w:tcPr>
            <w:tcW w:w="2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12,000</w:t>
            </w:r>
          </w:p>
        </w:tc>
      </w:tr>
      <w:tr>
        <w:trPr>
          <w:trHeight w:val="216"/>
        </w:trPr>
        <w:tc>
          <w:tcPr>
            <w:tcW w:w="3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2019 ASHM</w:t>
            </w:r>
          </w:p>
        </w:tc>
        <w:tc>
          <w:tcPr>
            <w:tcW w:w="2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Amendment #1</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5,333</w:t>
            </w:r>
          </w:p>
        </w:tc>
        <w:tc>
          <w:tcPr>
            <w:tcW w:w="2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17,333</w:t>
            </w:r>
          </w:p>
        </w:tc>
      </w:tr>
      <w:tr>
        <w:trPr>
          <w:trHeight w:val="216"/>
        </w:trPr>
        <w:tc>
          <w:tcPr>
            <w:tcW w:w="3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2020 ASHM</w:t>
            </w:r>
          </w:p>
        </w:tc>
        <w:tc>
          <w:tcPr>
            <w:tcW w:w="2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Amendment #2</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11,111</w:t>
            </w:r>
          </w:p>
        </w:tc>
        <w:tc>
          <w:tcPr>
            <w:tcW w:w="2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28,444</w:t>
            </w:r>
          </w:p>
        </w:tc>
      </w:tr>
      <w:tr>
        <w:trPr>
          <w:trHeight w:val="216"/>
        </w:trPr>
        <w:tc>
          <w:tcPr>
            <w:tcW w:w="3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2021 ASHM</w:t>
            </w:r>
          </w:p>
        </w:tc>
        <w:tc>
          <w:tcPr>
            <w:tcW w:w="2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Amendment #3</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34,222</w:t>
            </w:r>
          </w:p>
        </w:tc>
        <w:tc>
          <w:tcPr>
            <w:tcW w:w="2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62,666</w:t>
            </w:r>
          </w:p>
        </w:tc>
      </w:tr>
      <w:tr>
        <w:trPr>
          <w:trHeight w:val="216"/>
        </w:trPr>
        <w:tc>
          <w:tcPr>
            <w:tcW w:w="3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2023 ASHM</w:t>
            </w:r>
          </w:p>
        </w:tc>
        <w:tc>
          <w:tcPr>
            <w:tcW w:w="2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Amendment #4</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68,666</w:t>
            </w:r>
          </w:p>
        </w:tc>
        <w:tc>
          <w:tcPr>
            <w:tcW w:w="2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131,332</w:t>
            </w:r>
          </w:p>
        </w:tc>
      </w:tr>
      <w:tr>
        <w:trPr>
          <w:trHeight w:val="234"/>
        </w:trPr>
        <w:tc>
          <w:tcPr>
            <w:tcW w:w="3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2025 ASHM</w:t>
            </w:r>
          </w:p>
        </w:tc>
        <w:tc>
          <w:tcPr>
            <w:tcW w:w="2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Amendment #5</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133,333</w:t>
            </w:r>
          </w:p>
        </w:tc>
        <w:tc>
          <w:tcPr>
            <w:tcW w:w="2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264,665</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issued stock awards to employees and directors in the form of stock options and restricted stock. Options are generally granted with strike prices equal to the fair market value of a share of Imunon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Imunon must be at least 110% of such fair market value on the date of grant. Only officers and key employees may receive incentive stock options.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compensation cost related to stock options and restricted stock awards was approximately $0.6 million and $0.2 million the three-months ended March 31, 2026 and 2025, respectively. Of these amounts, approximately $0.2 million and $0.1 million was charged to research and development expenses for the three-month ended March 31, 2026, and 2025, respectively, and approximately $0.4 million and $0.2 was charged to general and administrative expenses for the three-months ended March 31, 2026, and 2025, respectively.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stock option awards and restricted stock grants, inclusive of awards granted under the 2018 Stock Plan and Inducement Option Grants for the three-months ended March 31, 2026 is presented below:</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52"/>
        </w:trPr>
        <w:tc>
          <w:tcPr>
            <w:tcW w:w="3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80" w:type="dxa"/>
            <w:vAlign w:val="bottom"/>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4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187"/>
        </w:trPr>
        <w:tc>
          <w:tcPr>
            <w:tcW w:w="3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13"/>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Non-vested</w:t>
            </w:r>
          </w:p>
        </w:tc>
        <w:tc>
          <w:tcPr>
            <w:tcW w:w="1000" w:type="dxa"/>
            <w:vAlign w:val="bottom"/>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Terms of</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000" w:type="dxa"/>
            <w:vAlign w:val="bottom"/>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Awards</w:t>
            </w:r>
          </w:p>
        </w:tc>
      </w:tr>
      <w:tr>
        <w:trPr>
          <w:trHeight w:val="238"/>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0" w:type="dxa"/>
            <w:vAlign w:val="bottom"/>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at January 1, 2026</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granted</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242,364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3.95</w:t>
            </w:r>
          </w:p>
        </w:tc>
        <w:tc>
          <w:tcPr>
            <w:tcW w:w="14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terminated</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at March 31, 2026</w:t>
            </w:r>
          </w:p>
        </w:tc>
        <w:tc>
          <w:tcPr>
            <w:tcW w:w="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261,059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4.79</w:t>
            </w:r>
          </w:p>
        </w:tc>
        <w:tc>
          <w:tcPr>
            <w:tcW w:w="14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3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exercisable at March 31, 2026</w:t>
            </w:r>
          </w:p>
        </w:tc>
        <w:tc>
          <w:tcPr>
            <w:tcW w:w="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131,930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5.31</w:t>
            </w:r>
          </w:p>
        </w:tc>
        <w:tc>
          <w:tcPr>
            <w:tcW w:w="1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3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 intrinsic value of equity</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exercisable at March 31, 2026</w:t>
            </w: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there was $0.4 million of total unrecognized compensation cost related to non-vested stock-based compensation arrangements. That cost is expected to be recognized over a period of 1.2 years. The weighted average grant date fair values of the stock options granted were $3.74 during the three-month period ended March 31,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the Company’s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43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38"/>
        </w:trPr>
        <w:tc>
          <w:tcPr>
            <w:tcW w:w="6900" w:type="dxa"/>
            <w:vAlign w:val="bottom"/>
          </w:tcPr>
          <w:p>
            <w:pPr>
              <w:spacing w:after="0"/>
              <w:rPr>
                <w:sz w:val="20"/>
                <w:szCs w:val="20"/>
                <w:color w:val="auto"/>
              </w:rPr>
            </w:pPr>
          </w:p>
        </w:tc>
        <w:tc>
          <w:tcPr>
            <w:tcW w:w="2720" w:type="dxa"/>
            <w:vAlign w:val="bottom"/>
            <w:tcBorders>
              <w:bottom w:val="single" w:sz="8" w:color="auto"/>
            </w:tcBorders>
            <w:gridSpan w:val="3"/>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4.19%</w:t>
            </w:r>
          </w:p>
        </w:tc>
        <w:tc>
          <w:tcPr>
            <w:tcW w:w="4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 to 4.55%</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122.97%</w:t>
            </w:r>
          </w:p>
        </w:tc>
        <w:tc>
          <w:tcPr>
            <w:tcW w:w="4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110.74 to 115.63%</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9.0</w:t>
            </w:r>
          </w:p>
        </w:tc>
        <w:tc>
          <w:tcPr>
            <w:tcW w:w="4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 to 10.0</w:t>
            </w: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44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9.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all warrant activity for the three-month period ended March 31,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2862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outstanding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Pre-funded warrants exercised during the 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outstanding at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remaining contractual terms at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18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8"/>
              </w:rPr>
              <w:t>Warrants Issued</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425"/>
        </w:trPr>
        <w:tc>
          <w:tcPr>
            <w:tcW w:w="1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4,513,475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446"/>
        </w:trPr>
        <w:tc>
          <w:tcPr>
            <w:tcW w:w="1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(503,114)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r>
      <w:tr>
        <w:trPr>
          <w:trHeight w:val="473"/>
        </w:trPr>
        <w:tc>
          <w:tcPr>
            <w:tcW w:w="1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4,010,361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473"/>
        </w:trPr>
        <w:tc>
          <w:tcPr>
            <w:tcW w:w="1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 years (a)</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12172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-599440</wp:posOffset>
            </wp:positionV>
            <wp:extent cx="12172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-1165225</wp:posOffset>
            </wp:positionV>
            <wp:extent cx="12172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020" w:space="280"/>
            <w:col w:w="3940"/>
          </w:cols>
          <w:pgMar w:left="320" w:top="657" w:right="339" w:bottom="1440" w:gutter="0" w:footer="0" w:header="0"/>
        </w:sectPr>
      </w:pPr>
    </w:p>
    <w:p>
      <w:pPr>
        <w:ind w:left="660"/>
        <w:spacing w:after="0"/>
        <w:rPr>
          <w:sz w:val="20"/>
          <w:szCs w:val="20"/>
          <w:color w:val="auto"/>
        </w:rPr>
      </w:pPr>
      <w:r>
        <w:rPr>
          <w:rFonts w:ascii="Times New Roman" w:cs="Times New Roman" w:eastAsia="Times New Roman" w:hAnsi="Times New Roman"/>
          <w:sz w:val="18"/>
          <w:szCs w:val="18"/>
          <w:color w:val="auto"/>
        </w:rPr>
        <w:t>(a)  Amount excludes 1.1 million prefunded warrants from the December 2025 Offering which do not have an expiration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Lawrenceville, New Jersey Lease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2023, the Company renewed its Lawrenceville office lease for a 24-month agreement for 9,850 square feet with monthly rent payments of approximately $22,983 to $23,394. In April 2025, the Company renewed its Lawrenceville office lease until November 30, 2028 for 4,359 square feet (to be reduced to 4,011 following April 1, 2026) with monthly rent payments of approximately $10,361 to $10,863.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Huntsville, Alabama Lease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the Company renewed its Huntsville facility lease for a 60-month lease agreement for 11,420 square feet with monthly rent payments of approximately $28,550 to $30,903.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table of the lease payments and maturity of the Company’s operating lease liabilities as of March 31, 2026: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4060" w:type="dxa"/>
            <w:vAlign w:val="bottom"/>
            <w:gridSpan w:val="2"/>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367,438</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498,086</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149,897</w:t>
            </w: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3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future lease payments</w:t>
            </w:r>
          </w:p>
        </w:tc>
        <w:tc>
          <w:tcPr>
            <w:tcW w:w="3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1,015,421</w:t>
            </w:r>
          </w:p>
        </w:tc>
        <w:tc>
          <w:tcPr>
            <w:tcW w:w="160" w:type="dxa"/>
            <w:vAlign w:val="bottom"/>
            <w:tcBorders>
              <w:top w:val="single" w:sz="8" w:color="CCEEFF"/>
            </w:tcBorders>
            <w:shd w:val="clear" w:color="auto" w:fill="CCEEFF"/>
          </w:tcPr>
          <w:p>
            <w:pPr>
              <w:spacing w:after="0"/>
              <w:rPr>
                <w:sz w:val="18"/>
                <w:szCs w:val="18"/>
                <w:color w:val="auto"/>
              </w:rPr>
            </w:pPr>
          </w:p>
        </w:tc>
      </w:tr>
      <w:tr>
        <w:trPr>
          <w:trHeight w:val="230"/>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3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(103,669)</w:t>
            </w:r>
          </w:p>
        </w:tc>
      </w:tr>
      <w:tr>
        <w:trPr>
          <w:trHeight w:val="223"/>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4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911,752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7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life</w:t>
            </w: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57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three-month period ended March 31, 2026, operating lease expense was $120,915 and cash paid for operating leases included in operating cash flows was $121,384. For the three-month period ended March 31, 2025, operating lease expense was $165,232 and cash paid for operating leases included in operating cash flows was $165,231.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its subsequent events from March 31, 2026 and through the date these condensed consolidated financial statements were issued, determining all subsequent events have been disclosed.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This discussion contains forward-looking statements that involve risks and uncertainties. Our actual results may differ materially from those discussed in forward-looking statements. Factors that might cause a difference include, but are not limited to, those discussed above under “Cautionary Note Regarding Forward-Looking Statements,” and in Item 1A. Risk factors in our Annual Report on Form 10-K for the fiscal year ended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 conventional therapies. Imunon is developing its non-viral DNA technology across its modalities. The first modality, TheraPlas®, is developed for the coding of proteins and cytokines in the treatment of solid tumors where an immunological approach is deemed promising. The second modality, PlaCCine®, is developed for the coding of viral antigens that can elicit a strong immunological response. This technology may represent a promising platform for the development of vaccines in infectious diseases.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lead clinical program, IMNN-001, is a DNA-based immunotherapy for the localized treatment of advanced ovarian cancer that has completed multiple clinical trials including one Phase II clinical trial (OVATION 2) and is currently conducting a Phase 3 clinical trial (OVATION 3). IMNN-001 works by instructing the body to produce safe and durable levels of powerful cancer-fighting molecules, such as interleukin-12 and interferon gamma, at the tumor site. Additionally, the Company has completed dosing in a first-in-human study of its COVID-19 booster vaccine (IMNN-101). The Company will continue to leverage these modalities and to advance, either directly or through partnership, the technological frontier of plasmid DNA to better serve patients with difficult-to-treat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Platform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Imunon’s technology platform is optimized for the delivery of DNA and mRNA therapeutics via synthetic non-viral carriers and is capable of providing cell transfection for double-stranded DNA plasmids and large therapeutic RNA segments such as mRNA. There are two components to the system, a backbone with plasmid DNA or mRNA payload encoding therapeutic proteins, or pathogen antigens or tumor associated antigens or cancer neoantigens and a delivery system. The delivery system is designed to protect the DNA or mRNA from degradation and promote trafficking into cells and through intracellular compartments. We designed the delivery system by chemically modifying the low molecular weight polymer to improve its gene transfer activity without increasing toxicity. We believe that our non-viral DNA technology may be a viable alternative to current approaches to gene delivery due to several distinguishing characteristics, including enhanced molecular versatility that allows for complex modifications to potentially improve activity and safety.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biocompatibility of these polymers reduces the risk of adverse immune response, thus allowing for repeated administration. Compared to naked DNA or cationic lipids, we believe that our delivery systems are generally more efficient, cost effective and have a more favorable safety profile. We believe that these advantages place Imunon in a position to capitalize on this technology platform.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THERAPLAS MODALITY: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IMNN-001 DEVELOPMENT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Ovarian Cancer 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Ovarian cancer is the most lethal of gynecological malignancies among women with more than 60% of women dying within five years of diagnosis. This poor outcome is due in part to the lack of effective prevention and early detection strategies. There were approximately 20,000 new cases of ovarian cancer in the U.S. in 2021 with an estimated 13,000 deaths. Mortality rates for ovarian cancer declined very little in the last 40 years due to the unavailability of detection tests and improved treatments. Most women with ovarian cancer are not diagnosed until Stages III or IV, when the disease has spread outside the pelvis to the abdomen and areas beyond, causing swelling and pain. With the five-year survival rates for Stages III and IV at 41% and 20%, respectively, there remains a need for a therapy that not only reduces the recurrence rate but also meaningfully improves overall survival.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 resistant group has a platinum-free interval of shorter than six months and is resistant to additional platinum-based treatments. Pegylated liposomal doxorubicin, topotecan, and bevacizumab are the only approved second-line therapies for platinum-resistant ovarian cancer. The overall response rate for these therapies is 10% to 20% with median overall survival (“OS”) of 11 to 12 months. Additionally, 10% to 15% of ovarian cancer cases nationwide are a result of germline or somatic BRCA mutations. With cognizance of tumor genetics, practice has shifted to include targeted agents in ovarian cancer treatment.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Poly (ADP-ribose) polymerase (“PARP”) enzymes are responsible for detecting and repairing single-stranded and double-stranded DNA breaks during cell replication. BRCA1/2 mutations hinder the homologous recombination repair pathway, and tumor cells utilize PARP enzymes to repair DNA. For this reason, these tumors are particularly sensitive to the mechanism of PARP inhibitors. PARP inhibitors have expanded treatment options in ovarian cancer, but few treatment options are left for women who are not eligible to receive PARP inhibitors.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Immunotherapy is an attractive, novel approach for the treatment of ovarian cancer particularly since ovarian cancers are considered immunogenic tumors. Interleukin-12 (“IL-12”) is one of the most active cytokines for the induction of potent anti-cancer immunity acting through the induction of T-lymphocyte and natural killer cell proliferation. The precedence for a therapeutic role of IL-12 in ovarian cancer is based on epidemiologic and clinical and preclinical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IMNN-001 Immunotherapy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IMNN-001 is a DNA-based immunotherapeutic drug candidate for the localized treatment of ovarian cancer by intraperitoneally administering an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IMNN-001 is based on the following:</w:t>
      </w:r>
    </w:p>
    <w:p>
      <w:pPr>
        <w:spacing w:after="0" w:line="187" w:lineRule="exact"/>
        <w:rPr>
          <w:sz w:val="20"/>
          <w:szCs w:val="20"/>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Loco-regional production of the potent cytokine IL-12 avoids toxicities and poor pharmacokinetics associated with systemic delivery of recombinant IL-12;</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Persistent local delivery of IL-12 lasts up to one week and dosing can be repeated;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therapy is ideal for long-term maintenance therapy.</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OVATION 1 Study</w:t>
      </w:r>
      <w:r>
        <w:rPr>
          <w:rFonts w:ascii="Times New Roman" w:cs="Times New Roman" w:eastAsia="Times New Roman" w:hAnsi="Times New Roman"/>
          <w:sz w:val="18"/>
          <w:szCs w:val="18"/>
          <w:color w:val="auto"/>
        </w:rPr>
        <w:t>. In February 2015, we announced that the FDA accepted the Phase I dose-escalation clinical trial of IMNN-001 in combination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of care in neoadjuvant ovarian cancer (the “OVATION 1 Study”). The OVATION 1 Study was designed to:</w:t>
      </w:r>
    </w:p>
    <w:p>
      <w:pPr>
        <w:spacing w:after="0" w:line="159" w:lineRule="exact"/>
        <w:rPr>
          <w:sz w:val="20"/>
          <w:szCs w:val="20"/>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tolerable and therapeutically active dose of IMNN-001 within certain safety parameters by recruiting and maximizing an immune response;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three to six patients per dose level and evaluate safety and efficacy;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define an optimal dose for a follow-on Phase I/II study.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OVATION 1 Study established a unique opportunity to assess how cytokine-based compounds such as IMNN-001 directly affect ovarian cancer cells and the tumor microenvironment in newly diagnosed ovarian cancer patients. The study was designed to characterize the nature of the immune response triggered by IMNN-001 at various levels of the patients’ immune system, including:</w:t>
      </w:r>
    </w:p>
    <w:p>
      <w:pPr>
        <w:spacing w:after="0" w:line="176" w:lineRule="exact"/>
        <w:rPr>
          <w:sz w:val="20"/>
          <w:szCs w:val="20"/>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Infiltration of cancer fighting T-cell lymphocytes into primary tumor and tumor microenvironment including peritoneal cavity, which is the primary site of metastasis of ovarian cancer;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systemic levels of immuno-stimulatory and immune-suppressive cytokines associated with tumor suppression and growth, respectively;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Expression profile of a comprehensive panel of immune related genes in pre-treatment and IMNN-001-treated tumor tissue.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spacing w:after="0" w:line="261" w:lineRule="auto"/>
        <w:rPr>
          <w:sz w:val="20"/>
          <w:szCs w:val="20"/>
          <w:color w:val="auto"/>
        </w:rPr>
      </w:pPr>
      <w:r>
        <w:rPr>
          <w:rFonts w:ascii="Times New Roman" w:cs="Times New Roman" w:eastAsia="Times New Roman" w:hAnsi="Times New Roman"/>
          <w:sz w:val="18"/>
          <w:szCs w:val="18"/>
          <w:color w:val="auto"/>
        </w:rPr>
        <w:t>During 2016 and 2017, we announced data from the first 14 patients in the OVATION 1 Study. On October 3, 2017, we announced final translational research and clinical data from the OVATION 1 Study.</w:t>
      </w:r>
    </w:p>
    <w:p>
      <w:pPr>
        <w:spacing w:after="0"/>
        <w:rPr>
          <w:sz w:val="20"/>
          <w:szCs w:val="20"/>
          <w:color w:val="auto"/>
        </w:rPr>
      </w:pPr>
      <w:r>
        <w:rPr>
          <w:rFonts w:ascii="Times New Roman" w:cs="Times New Roman" w:eastAsia="Times New Roman" w:hAnsi="Times New Roman"/>
          <w:sz w:val="18"/>
          <w:szCs w:val="18"/>
          <w:color w:val="auto"/>
        </w:rPr>
        <w:t>Key translational research findings from all evaluable patients are summarized below:</w:t>
      </w:r>
    </w:p>
    <w:p>
      <w:pPr>
        <w:spacing w:after="0" w:line="207" w:lineRule="exact"/>
        <w:rPr>
          <w:sz w:val="20"/>
          <w:szCs w:val="20"/>
          <w:color w:val="auto"/>
        </w:rPr>
      </w:pPr>
    </w:p>
    <w:p>
      <w:pPr>
        <w:jc w:val="both"/>
        <w:ind w:left="98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intraperitoneal treatment of IMNN-001 in conjunction with standard-of-care neoadjuvant chemotherapy (“NACT”) resulted in dose-dependent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were consistent with an IL-12 based immune mechanism;</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previous partial reports, the effects observed in the Immunohistochemistry analysis were pronounced decreases in the density of immunosuppressive T-cell signals (Foxp3, PD-1, PDL-1, IDO-1) and increases in CD8+ cells in the tumor microenvironment;</w:t>
      </w:r>
    </w:p>
    <w:p>
      <w:pPr>
        <w:spacing w:after="0" w:line="16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CD8+ cells to immunosuppressive cells was increased in approximately 75% of patients, suggesting an overall shift in the tumor</w:t>
      </w:r>
    </w:p>
    <w:p>
      <w:pPr>
        <w:spacing w:after="0" w:line="27"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microenvironment from immunosuppressive to pro-immune stimulatory following treatment with IMNN-001. An increase in CD8+ to immunosuppressive T-cell populations was a leading indicator and believed to be a good predictor of improved OS; and</w:t>
      </w:r>
    </w:p>
    <w:p>
      <w:pPr>
        <w:spacing w:after="0" w:line="18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peritoneal fluid by cell sorting, not reported before, showed a treatment-related decrease in the percentage of immunosuppressive</w:t>
      </w:r>
    </w:p>
    <w:p>
      <w:pPr>
        <w:spacing w:after="0" w:line="27"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T-cell (Foxp3+), which was consistent with the reduction of Foxp3+ T-cells in the primary tumor tissue, and a shift in tumor naïve CD8+ cell population to more efficient tumor killing memory effector CD8+ cells.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reported encouraging clinical data from the first 14 patients who completed treatment in the OVATION 1 Study. IMNN-001 plus standard chemotherapy produced no dose-limiting toxicities and positive dose dependent efficacy signals which correlate well with positive surgical outcomes as summarized below:</w:t>
      </w:r>
    </w:p>
    <w:p>
      <w:pPr>
        <w:spacing w:after="0" w:line="176" w:lineRule="exact"/>
        <w:rPr>
          <w:sz w:val="20"/>
          <w:szCs w:val="20"/>
          <w:color w:val="auto"/>
        </w:rPr>
      </w:pPr>
    </w:p>
    <w:p>
      <w:pPr>
        <w:jc w:val="both"/>
        <w:ind w:left="980" w:hanging="324"/>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14 patients treated in the entire study, two patients demonstrated a complete response, 10 patients demonstrated a partial response, and two patients demonstrated stable disease, as measured by Response Evaluation Criteria in Solid Tumors (“RECIST”) criteria. This translated to a 100% disease control rate and an 86% objective response rate (“ORR”). Of the five patients treated in the highest dose cohort, there was a 100% ORR with one complete response and four partial responses;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experienced a clinically significant decrease in their CA-125 protein levels. CA-125 was used to monitor certain cancers during and after treatment. CA-125 was present in greater concentrations in ovarian cancer cells than in other cells.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26, 2020, the Company announced with Medidata Solutions, a subsidiary of Dassault Systèmes, that examining matched patient data provided by Medidata in a synthetic control arm (“SCA”) with results from the Company’s Phase I dose-escalating OVATION 1 Study showed positive results in progression-free survival (“PFS”). The hazard ratio (“HR”) was 0.53 in the intent-to-treat (“ITT”) group, showing strong signals of efficacy. In its March 2019 discussion with the Company, the FDA noted that preliminary findings from the Phase I OVATION 1 Study were exciting but lacked a control group to evaluate IMNN-001’s independent impact on impressive tumor response, surgical results and PFS. The FDA encouraged the Company to continue its IMNN-001 development program and consult with FDA with new findings that may have a bearing on designations such as Fast Track and Breakthrough Therapy.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2021, the Company announced final PFS results from the OVATION 1 Study published in the Journal of Clinical Cancer Research. Median PFS in patients treated per protocol (n=14) was 21 months and was 18.4 months for the ITT population (n=18) for all dose cohorts, including three patients who dropped out of the study after 13 days or less, and two patients who did not receive full NACT and IMNN-001 cycles. Under the current standard of care, in women with Stage III/IV ovarian cancer undergoing NACT, their disease progresses within about 12 months on average. The results from the OVATION 1 Study supported continued evaluation of IMNN-001 based on promising tumor response, as reported in the PFS data, and the ability for surgeons to completely remove visible tumors at the time of interval debulking surgery. IMNN-001 was well tolerated, and no dose-limiting toxicities were detected in the OVATION 1 Study. Intraperitoneal administration of IMNN-001 was feasible with broad patient acceptance.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2 Study. </w:t>
      </w:r>
      <w:r>
        <w:rPr>
          <w:rFonts w:ascii="Times New Roman" w:cs="Times New Roman" w:eastAsia="Times New Roman" w:hAnsi="Times New Roman"/>
          <w:sz w:val="18"/>
          <w:szCs w:val="18"/>
          <w:color w:val="auto"/>
        </w:rPr>
        <w:t>The Company held an Advisory Board Meeting on September 27, 2017 with clinical investigators and scientific experts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from Roswell Park Cancer Institute, Vanderbilt University Medical School, and M.D. Anderson Cancer Center to review and finalize clinical, translational research and safety data from the OVATION 1 Study to determine the next steps forward for our IMNN-001 immunotherapy program. On November 13, 2017, the Company filed its Phase I/II clinical trial protocol with the FDA for IMNN-001 for the localized treatment of ovarian cancer. The protocol was designed with a single dose escalation phase to 100 mg/m² to identify a tolerable dose of IMNN-001 within certain safety parameters while maximizing an immune response. The Phase I portion of the study would be followed by a continuation at the selected dose in approximately 110 patients randomized Phase II study.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OVATION 2 Study, patients in the IMNN-001 treatment arm would receive IMNN-001 plus chemotherapy pre- and post-interval debulking surgery (“IDS”). The OVATION 2 Study was designed to include up to 110 patients with Stage III/IV ovarian cancer, with 15 patients in the Phase I portion and up to 95 patients in Phase II. The sample size is consistent with a Phase II trial designed to inform the design of a Phase III trial comparing IMNN-001 with neoadjuvant + adjuvant chemotherapy versus neoadjuvant + adjuvant chemotherapy alone. As a Phase II study, the OVATION 2 Study was not powered for statistical significance. The primary endpoint is PFS and the primary analysis would be conducted after at least 80 events had been observed or after all patients had been followed for at least 16 months, whichever was later. Additional endpoints included objective response rate, overall survival, chemotherapy response score, and surgical response.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Company announced encouraging initial clinical data from the first 15 patients enrolled in the Phase I portion of the OVATION 2 Study for patients newly diagnosed with Stage III and IV ovarian cancer. The OVATION 2 Study was designed to combine IMNN-001, the Company’s IL-12 gene-mediated immunotherapy, with standard-of-care NACT. Following NACT, patients undergo IDS, followed by three additional cycles of chemotherapy.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IMNN-001 plus standard-of-care NACT produced positive dose-dependent efficacy results, with no dose-limiting toxicities, which correlate well with successful surgical outcomes as summarized below:</w:t>
      </w:r>
    </w:p>
    <w:p>
      <w:pPr>
        <w:spacing w:after="0" w:line="162" w:lineRule="exact"/>
        <w:rPr>
          <w:sz w:val="20"/>
          <w:szCs w:val="20"/>
          <w:color w:val="auto"/>
        </w:rPr>
      </w:pPr>
    </w:p>
    <w:p>
      <w:pPr>
        <w:jc w:val="both"/>
        <w:ind w:left="980" w:hanging="324"/>
        <w:spacing w:after="0" w:line="26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15 patients treated in the Phase I portion of the OVATION 2 Study, nine patients were treated with IMNN-001 at a dose of 100 mg/m² plus NACT and six patients were treated with NACT only. All 15 patients had successful resections of their tumors, with eight out of nine patients (88%) in the IMNN-001 treatment arm having an R0 resection. Only three out of six patients (50%) in the NACT only treatment arm had a R0 resection.</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combining these results with the surgical resection rates observed in the Company’s OVATION 1 Study, a population of patients with inclusion criteria identical to the OVATION 2 Study, the data reflected the strong dose-dependent efficacy of adding IMNN-001 to the current standard of care NACT:</w:t>
      </w:r>
    </w:p>
    <w:p>
      <w:pPr>
        <w:spacing w:after="0" w:line="175" w:lineRule="exact"/>
        <w:rPr>
          <w:rFonts w:ascii="Times New Roman" w:cs="Times New Roman" w:eastAsia="Times New Roman" w:hAnsi="Times New Roman"/>
          <w:sz w:val="18"/>
          <w:szCs w:val="18"/>
          <w:color w:val="auto"/>
        </w:rPr>
      </w:pPr>
    </w:p>
    <w:p>
      <w:pPr>
        <w:ind w:left="9900" w:right="360" w:hanging="235"/>
        <w:spacing w:after="0" w:line="272" w:lineRule="auto"/>
        <w:tabs>
          <w:tab w:leader="none" w:pos="98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Patients R0 Resections</w:t>
      </w:r>
    </w:p>
    <w:tbl>
      <w:tblPr>
        <w:tblLayout w:type="fixed"/>
        <w:tblInd w:w="0" w:type="dxa"/>
        <w:tblCellMar>
          <w:top w:w="0" w:type="dxa"/>
          <w:left w:w="0" w:type="dxa"/>
          <w:bottom w:w="0" w:type="dxa"/>
          <w:right w:w="0" w:type="dxa"/>
        </w:tblCellMar>
      </w:tblPr>
      <w:tr>
        <w:trPr>
          <w:trHeight w:val="172"/>
        </w:trPr>
        <w:tc>
          <w:tcPr>
            <w:tcW w:w="570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0, 36, 47 mg/m² of IMNN-001 plus NACT</w:t>
            </w:r>
          </w:p>
        </w:tc>
        <w:tc>
          <w:tcPr>
            <w:tcW w:w="3820" w:type="dxa"/>
            <w:vAlign w:val="bottom"/>
          </w:tcPr>
          <w:p>
            <w:pPr>
              <w:ind w:left="2480"/>
              <w:spacing w:after="0" w:line="172" w:lineRule="exact"/>
              <w:rPr>
                <w:sz w:val="20"/>
                <w:szCs w:val="20"/>
                <w:color w:val="auto"/>
              </w:rPr>
            </w:pPr>
            <w:r>
              <w:rPr>
                <w:rFonts w:ascii="Times New Roman" w:cs="Times New Roman" w:eastAsia="Times New Roman" w:hAnsi="Times New Roman"/>
                <w:sz w:val="18"/>
                <w:szCs w:val="18"/>
                <w:color w:val="auto"/>
              </w:rPr>
              <w:t>N =12</w:t>
            </w:r>
          </w:p>
        </w:tc>
        <w:tc>
          <w:tcPr>
            <w:tcW w:w="1560" w:type="dxa"/>
            <w:vAlign w:val="bottom"/>
            <w:tcBorders>
              <w:top w:val="single" w:sz="8" w:color="auto"/>
            </w:tcBorders>
          </w:tcPr>
          <w:p>
            <w:pPr>
              <w:jc w:val="right"/>
              <w:ind w:right="550"/>
              <w:spacing w:after="0" w:line="172" w:lineRule="exact"/>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61, 79, 100 mg/m² of IMNN-001 plus NACT</w:t>
            </w:r>
          </w:p>
        </w:tc>
        <w:tc>
          <w:tcPr>
            <w:tcW w:w="382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N = 17</w:t>
            </w:r>
          </w:p>
        </w:tc>
        <w:tc>
          <w:tcPr>
            <w:tcW w:w="15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ORR as measured by RECIST criteria for the 0, 36, 47 mg/m² dose IMNN-001 patients were comparable, as expected, to the higher (61, 79, 100 mg/m²) dose IMNN-001 patients, with both groups demonstrating an approximate 80% ORR.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23, 2020, the Company announced that the European Medicines Agency (the “EMA”) Committee for Orphan Medicinal Products (“COMP”) had recommended that IMNN-001 be designated as an orphan medicinal product for the treatment of ovarian cancer. IMNN-001 previously received orphan designation from the FDA.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2021, the Company announced that it had received Fast Track designation from the FDA for IMNN-001 and also provided an update on the OVATION 2 Study. The Company reported that approximately one-third, or 34 patients, of the anticipated 110 patients had been enrolled into the OVATION 2 Study, of which 20 were in the treatment arm and 14 were in the control. Of the 34 patients enrolled in the trial, 27 patients have had their IDS with the following results:</w:t>
      </w:r>
    </w:p>
    <w:p>
      <w:pPr>
        <w:spacing w:after="0" w:line="180"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patients treated with IMNN-001 had a R0 resection.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of patients in the control arm had an R0 resection.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interim data represented a 38% improvement in R0 resection rates for IMNN-001 patients compared with control arm patients and was consistent with the reported improvement in resection scores noted in our Phase I OVATION 1 Study, the manuscript of which was submitted for peer review publication.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the Company announced that following a pre-planned interim safety review of 87 as treated patients (46 patients in the experimental arm and 41 patients in the control arm) randomized in the OVATION 2 Study, the Data Safety Monitoring Board (“DSMB”) unanimously recommended that the</w:t>
      </w:r>
    </w:p>
    <w:p>
      <w:pPr>
        <w:jc w:val="both"/>
        <w:spacing w:after="0" w:line="234" w:lineRule="auto"/>
        <w:rPr>
          <w:sz w:val="20"/>
          <w:szCs w:val="20"/>
          <w:color w:val="auto"/>
        </w:rPr>
      </w:pPr>
      <w:r>
        <w:rPr>
          <w:rFonts w:ascii="Times New Roman" w:cs="Times New Roman" w:eastAsia="Times New Roman" w:hAnsi="Times New Roman"/>
          <w:sz w:val="18"/>
          <w:szCs w:val="18"/>
          <w:color w:val="auto"/>
        </w:rPr>
        <w:t>OVATION 2 Study continue treating patients with the dose of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The DSMB also determined that safety was satisfactory, with an acceptable risk/benefit, and that patients tolerated IMNN-001 during a course of treatment that would last up to six months. No dose-limiting toxicities were reported at this point in the OVATION 2 Study. Interim clinical data from patients who had undergone IDS showed that the IMNN-001 treatment arm was continuing to show improvement in R0 surgical resection rates and CRS 3 chemotherapy response scores over the control arm. The chemotherapy response score is a three-tier standardized scoring system for histological tumor regression into complete/near complete (CRS 3), partial (CRS 2) and no/minimal (CRS 1) response based on omental examination.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Company announced that its Phase I/II OVATION 2 Study with IMNN-001 in advanced ovarian cancer had completed enrollment with 113 patients. In September 2023, the Company announced interim PFS and OS data with IMNN-001 in its Phase I/II OVATION 2 Study. Interim clinical data from the ITT population showed efficacy trends in PFS, demonstrating a delay in disease progression in the treatment arm of approximately 33% compared with the control arm, with the hazard ratio nearing the required value. Preliminary OS data followed a similar trend, showing an approximate 9-month improvement in the treatment arm over the control arm.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Subgroup analyses showed patients treated with a PARP inhibitor (“PARPi”) as maintenance therapy had longer PFS and OS if they were also treated with IMNN-001 compared with patients treated with NACT only. This was not a pre-specified subgroup as PARP inhibitors were approved after the OVATION 2 Study was initiated.</w:t>
      </w:r>
    </w:p>
    <w:p>
      <w:pPr>
        <w:spacing w:after="0" w:line="176"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PFS in the PARPi + NACT group and the PARPi + NACT + IMNN-001 group was 15.7 months and 23.7 months, respectively.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OS in the PARPi + NACT group was 45.6 months and has not yet been reached in the PARPi + NACT + IMNN-001 group.</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Imunon also continues to see benefits in other secondary endpoints including an approximately 20% higher R0 tumor resection score and a doubling of the CRS 3 chemotherapy response score to approximately 30% in the treatment arm versus 14% in the control arm. Chemotherapy response score is considered a good prognostic indicator in ovarian cancer. The DSMB determined that safety analyses continue to show good tolerability of IMNN-001 in this setting.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2024, the Company announced database lock for the OVATION 2 Study. At that time, median OS and PFS had been reached, and all patients in the open-label study had achieved treatment observation duration of 16 months, as required by protocol to evaluate efficacy. On July 11, 2024, a scientific advisory board with DSMB members, principal investigators, and scientific experts was held to review efficacy and safety data from the OVATION 2 study.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30, 2024, the Company announced positive topline results from the Phase I/II OVATION 2 Study. Highlights from patients treated with IMNN-001 plus standard-of-care in a first-line treatment setting include:</w:t>
      </w:r>
    </w:p>
    <w:p>
      <w:pPr>
        <w:spacing w:after="0" w:line="16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11.1 month increase in median OS compared with standard-of-care alone in the ITT population.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hazard ratio in the ITT population of 0.74, which indicates a 35% improvement in survival.</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the approximately 90% of trial participants who received at least 20% of specified treatments per-protocol in both study arms, patients in the IMNN-001 arm had a 15.7 month increase in median OS, representing a further extension of life with a hazard ratio of 0.64, a 56% improvement in survival.</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nearly 40% of trial participants treated with a PARP inhibitor, the hazard ratio decreased further to 0.41, with median OS in the IMNN-001 treatment arm not yet reached at the time of database lock, compared with median OS of 37.1 months in the standard-of-care treatment arm.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PFS results, the trial’s primary endpoint, support the OS results with:</w:t>
      </w:r>
    </w:p>
    <w:p>
      <w:pPr>
        <w:spacing w:after="0" w:line="225"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three-month improvement in PFS compared with standard-of-care alone.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hazard ratio in the intent-to-treat population of 0.79, indicating a 27% improvement in delaying progression for the IMNN-001 treatment arm.</w:t>
      </w:r>
    </w:p>
    <w:p>
      <w:pPr>
        <w:spacing w:after="0" w:line="165"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These initial results from the OVATION 2 Study were presented in a late-breaking session at the Society for Immunotherapy of Cancer (SITC) 39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Meeting in November 2024.</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spacing w:after="0" w:line="261" w:lineRule="auto"/>
        <w:rPr>
          <w:sz w:val="20"/>
          <w:szCs w:val="20"/>
          <w:color w:val="auto"/>
        </w:rPr>
      </w:pPr>
      <w:r>
        <w:rPr>
          <w:rFonts w:ascii="Times New Roman" w:cs="Times New Roman" w:eastAsia="Times New Roman" w:hAnsi="Times New Roman"/>
          <w:sz w:val="18"/>
          <w:szCs w:val="18"/>
          <w:color w:val="auto"/>
        </w:rPr>
        <w:t>On September 11, 2024, a scientific advisory board was held with DSMB members, principal investigators, and scientific experts to discuss and seek input on the protocol synopsis for the Phase III trial. A protocol synopsis was submitted along with a briefing document for review and input at the End-of-Phase</w:t>
      </w:r>
    </w:p>
    <w:p>
      <w:pPr>
        <w:ind w:firstLine="8"/>
        <w:spacing w:after="0" w:line="260" w:lineRule="auto"/>
        <w:tabs>
          <w:tab w:leader="none" w:pos="1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(“EOP2”) meeting with the U.S. Food and Drug Administration focused on the Phase III study. The EOP2 meeting was conducted in the fourth quarter of 2024.</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37"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positive outcome of the EOP2 in-person meeting with the U.S. Food and Drug Administration (FDA), supported the advancement of IMNN-001 for the treatment of advanced ovarian cancer into a Phase 3 pivotal study. The interaction with the FDA included an extensive review of data generated to date, including positive results from the recently completed Phase 2 OVATION 2 Study, which assessed IMNN-001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administered intraperitoneally weekly) plus neoadjuvant and adjuvant chemotherapy (NACT) of paclitaxel and carboplatin compared to standard-of-care NACT alone in 112 patients with newly diagnosed advanced ovarian cancer. Treatment was also generally well tolerated, with no reports of cytokine release syndrome or any other serious immune-related adverse events.</w:t>
      </w:r>
    </w:p>
    <w:p>
      <w:pPr>
        <w:spacing w:after="0" w:line="20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held a Type C Chemistry, Manufacturing, and Controls (CMC) meeting with the FDA regarding production of IMNN-001 for the treatment of women with newly diagnosed advanced ovarian cancer. The goal of the meeting was to seek alignment and agreement with the FDA on key CMC topics to support IMNN-001 production for the planned Phase 3 pivotal trial and a potential future new biologic license application (BLA) submission. The meeting with the FDA included a review of the Company’s current good manufacturing practice (cGMP) clinical-scale and commercial manufacturing process for IMNN-001, conducted at the Company’s manufacturing facility based in Huntsville, Alabama. The Agency agreed that the Company’s potency assay which measures interferon-gamma (IFN-γ) is acceptable for the Phase 3 clinical study and for use in a commercial setting for release of drug product. The FDA also agreed with the Company’s strategy to establish comparability of the core components of IMNN-001 produced by the Company with product previously produced through an external contract development and manufacturing organization.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2024, the Company announced additional clinical data from ongoing analyses of results from the Phase 2 OVATION 2 Study. The updated results (including a post announcement, immaterial statistical correction), based on an additional seven months of patient monitoring, showed the following:</w:t>
      </w:r>
    </w:p>
    <w:p>
      <w:pPr>
        <w:spacing w:after="0" w:line="176"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hazard ratio (HR) decreased from 0.74 to 0.70 in the ITT population, with an increase in median overall survival (OS) from 11.1 to 13 months following treatment with IMNN-001 plus standard-of-care (SoC) neoadjuvant and adjuvant chemotherapy (NACT) versus SoC alone.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one-third of patients in the trial survived more than 36 months from the point of study enrollment, with 62% of those surviving patients from the IMNN-001 treatment arm and 38% from the SoC arm. Over 10% of trial participants have reached 48 months or beyond.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2025, the Company announced positive data from the Company’s Phase 2 OVATION 2 Study showing that treatment with IMNN-001 in women with newly diagnosed advanced ovarian cancer resulted in consistent, clinically meaningful improvements in several key endpoints across treatment groups, including overall survival (OS), progression-free survival (PFS), chemotherapy response score and surgical response. Treatment with IMNN-001 also showed a favorable safety profile, with no reports of serious immune-related adverse events. The full results were presented in an oral presentation at the 2025 American Society of Clinical Oncology (ASCO) Annual Meeting in Chicago, Illinois, and simultaneously published in the peer-reviewed journal Gynecologic Oncology. The data presented highlighted the following results achieved across all treatment groups:</w:t>
      </w:r>
    </w:p>
    <w:p>
      <w:pPr>
        <w:spacing w:after="0" w:line="18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13-month increase in OS and median 3-month increase in PFS in IMNN-001 treatment arm compared to standard of care alone.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therapeutic effect observed with IMNN-001 treatment compared to the control arm (p=0.0375), as shown by mean 6.5-month extension of time free of progression or death (PFS + OS) captured in totality of treatment effect.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poly ADP-ribose polymerase (PARP) inhibitors as part of maintenance therapy further enhanced outcomes, with median OS not yet reached in IMNN-001 treatment arm after &gt;5 years compared to 37 months on standard of care.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Chemotherapy response score highlights double the response rate of a complete or near complete histopathological response following treatment with 26.1% in the IMNN-001 treatment arm compared to 13.0% in the control arm.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Surgical response rate of no macroscopic residual tumor left after surgery 64.6% in the IMNN-001 treatment arm compared to 52.1% in the control arm.</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 ratio of 0.78 in study participants who are homologous recombination proficient (HRP) and hazard ratio of 0.42 in women positive for homologous recombination deficiency (HRD+), including BRCA1 or BRCA2 mutations, suggesting increased therapeutic activity.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IMNN-001 was generally safe and well tolerated, with no reports of cytokine release syndrome, systemic toxicity or serious immune-related adverse events.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18, 2025, the Company presented positive translational data from the OVATION 2 Study of IMNN-001 at the ESMO Gynecological Cancers Congress 2025, that took place on June 19-21, 2025, in Vienna, Austria. Results presented at the ESMO Congress showed that treatment with IMNN-001 induced substantial increases in IL-12 and interferon-gamma (IFN-γ) and tumor necrosis factor-alpha (TNF-α), key downstream anti-cancer immune cytokines. Increases in IL-12, IFN-γ and TNF-α levels in the peritoneal cavity were approximately 27-, 62- and 36-fold following treatment, respectively, demonstrating the tumor-localized effect of IMNN-001 in women with advanced ovarian cancer. IMNN-001 continues to show a favorable safety profile.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Company presented additional positive translational data from the OVATION 2 Study at the American Association for Cancer Research (AACR) Special Conference in Cancer Research: </w:t>
      </w:r>
      <w:r>
        <w:rPr>
          <w:rFonts w:ascii="Times New Roman" w:cs="Times New Roman" w:eastAsia="Times New Roman" w:hAnsi="Times New Roman"/>
          <w:sz w:val="18"/>
          <w:szCs w:val="18"/>
          <w:i w:val="1"/>
          <w:iCs w:val="1"/>
          <w:color w:val="auto"/>
        </w:rPr>
        <w:t>Advances in Ovarian Cancer Research</w:t>
      </w:r>
      <w:r>
        <w:rPr>
          <w:rFonts w:ascii="Times New Roman" w:cs="Times New Roman" w:eastAsia="Times New Roman" w:hAnsi="Times New Roman"/>
          <w:sz w:val="18"/>
          <w:szCs w:val="18"/>
          <w:color w:val="auto"/>
        </w:rPr>
        <w:t xml:space="preserve"> reinforcing the favorable safety profile and efficacy benefits of IMNN-001 observed in the clinic, including increases in key anti-cancer immune cytokines and modulation of relevant anti-tumor immune cell populations, such as CD8+ T cells and myeloid dendritic cells, in the tumor and tumor microenvironment in study participants post-treatment. Results presented at the AACR Special Conference demonstrated:</w:t>
      </w:r>
    </w:p>
    <w:p>
      <w:pPr>
        <w:spacing w:after="0" w:line="183" w:lineRule="exact"/>
        <w:rPr>
          <w:sz w:val="20"/>
          <w:szCs w:val="20"/>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shift in the local TME to favorable immune stimulatory T cell ratios in the majority of participants treated with IMNN-001, including favorable ratios of CD8+/T regulatory (Treg) cells, CD8+/IDO+ cells, and CD8+/CD4+ cells.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TME shift in favor of decreased immunosuppression cells (IDO+, PDL1+, Treg, CD4+) and increased immunostimulatory cells (CD8+, CD8+ effector, myeloid dendritic cells) in the majority of participants post-treatment.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IMNN-001 treatment creates a “hot” anti-TME by increasing the recruitment of anti-tumor CD8+ and myeloid dendritic cells in 50-80% of the paired samples and decreasing immunosuppressive markers (IDO, PDL1, Treg cells) in 65-80% of the samples.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IMNN-001 continues to show a favorable safety profile.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Results from the study continue to validate our TheraPlas® technology and the broad impact of IMNN-001 on important cancer-fighting cytokines, effectively turning the tumor microenvironment from “cold” to ‘hot’ by activating both innate and adaptive immune systems, with limited to no systemic toxicities.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November 10, 2025, the Company held a R&amp;D Day which showcased recent progress with its IMNN-001 development program for the treatment of newly diagnosed advanced ovarian cancer, including a review of positive data from the Company’s Phase 2 OVATION 2 Study and the minimal residual disease (MRD) study conducted in partnership with Break </w:t>
      </w:r>
      <w:r>
        <w:rPr>
          <w:rFonts w:ascii="Times New Roman" w:cs="Times New Roman" w:eastAsia="Times New Roman" w:hAnsi="Times New Roman"/>
          <w:sz w:val="18"/>
          <w:szCs w:val="18"/>
          <w:i w:val="1"/>
          <w:iCs w:val="1"/>
          <w:color w:val="auto"/>
        </w:rPr>
        <w:t>Through</w:t>
      </w:r>
      <w:r>
        <w:rPr>
          <w:rFonts w:ascii="Times New Roman" w:cs="Times New Roman" w:eastAsia="Times New Roman" w:hAnsi="Times New Roman"/>
          <w:sz w:val="18"/>
          <w:szCs w:val="18"/>
          <w:color w:val="auto"/>
        </w:rPr>
        <w:t xml:space="preserve"> Cancer</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R&amp;D Day Featured Speakers and Program Highlights:</w:t>
      </w:r>
    </w:p>
    <w:p>
      <w:pPr>
        <w:spacing w:after="0" w:line="225" w:lineRule="exact"/>
        <w:rPr>
          <w:sz w:val="20"/>
          <w:szCs w:val="20"/>
          <w:color w:val="auto"/>
        </w:rPr>
      </w:pPr>
    </w:p>
    <w:p>
      <w:pPr>
        <w:jc w:val="both"/>
        <w:ind w:left="340" w:right="2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Premal H. Thaker, M.D., Washington University School of Medicine, discussed the significant continuing unmet needs in ovarian cancer, a devastating disease where patient outcomes and frontline standard of care treatment have not changed for about 30 years, and the promise IMNN-001 brings to these patients and clinicians. She highlighted the data from the Phase 2 OVATION 2 clinical trial, with results including:</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impact observed with IMNN-001 treatment on important cancer-fighting cytokines, effectively turning the tumor microenvironment from “cold” to “hot” by activating both innate and adaptive immune systems, renewing the elusive promise of an immunotherapy for ovarian cancer.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reinforcing the highly favorable benefit-risk and safety profile of IMMN 001.</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13-month overall survival (OS) benefit observed with IMNN-001 plus standard of care (SoC) chemotherapy, an increase that is considered clinically meaningful compared to SoC alone.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Amir Jazaeri, M.D., University of Texas MD Anderson Cancer Center, discussed safety, tolerability and translational insights from the Phase 2 MRD study of IMNN-001, including:</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Rationale for the trial and the importance of frontline therapy as the best opportunity to achieve a cure for ovarian cancer.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translational data that clearly showed IMNN-001 preferentially being taken up by macrophages within the peritoneal fluid and tumor tissue, which then induces a robust response and tumor microenvironment remodeling.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data further supporting the highly favorable benefit-risk and tolerability profile of IMNN-001.</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positive tolerability profile of IMNN-001, including in combination with SoC chemotherapy plus bevacizumab and in the maintenance setting.</w:t>
      </w:r>
    </w:p>
    <w:p>
      <w:pPr>
        <w:spacing w:after="0" w:line="161" w:lineRule="exact"/>
        <w:rPr>
          <w:rFonts w:ascii="Times New Roman" w:cs="Times New Roman" w:eastAsia="Times New Roman" w:hAnsi="Times New Roman"/>
          <w:sz w:val="18"/>
          <w:szCs w:val="18"/>
          <w:color w:val="auto"/>
        </w:rPr>
      </w:pPr>
    </w:p>
    <w:p>
      <w:pPr>
        <w:jc w:val="both"/>
        <w:ind w:left="340" w:right="20" w:hanging="332"/>
        <w:spacing w:after="0" w:line="289" w:lineRule="auto"/>
        <w:tabs>
          <w:tab w:leader="none" w:pos="3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Giorgio Paulon, Ph.D., Berry Consultants, LLC, reviewed the Phase 2 and ongoing Phase 3 trial designs and the strength of evidence for IMNN-001 from a statistical perspective. He highlighted the well-precedented nature of the Phase 3 design with the FDA, which leverages an innovative, adaptive, event-driven approach aligned with prior successful oncology trials that resulted in full approval by FDA based on interim analyses of overall survival.</w:t>
      </w:r>
    </w:p>
    <w:p>
      <w:pPr>
        <w:spacing w:after="0" w:line="157" w:lineRule="exact"/>
        <w:rPr>
          <w:rFonts w:ascii="Times New Roman" w:cs="Times New Roman" w:eastAsia="Times New Roman" w:hAnsi="Times New Roman"/>
          <w:sz w:val="17"/>
          <w:szCs w:val="17"/>
          <w:color w:val="auto"/>
        </w:rPr>
      </w:pPr>
    </w:p>
    <w:p>
      <w:pPr>
        <w:jc w:val="both"/>
        <w:ind w:left="340" w:hanging="332"/>
        <w:spacing w:after="0" w:line="258"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V. Faller, M.D., Ph.D., Imunon’s Chief Medical Officer, presented new data further demonstrating that IMNN-001 shifted the balance in favor of immune stimulation, remodeling the tumor microenvironment in favor of anti-tumor responses, which is established to be associated with better prognosis. He shared the rapid progress to-date on the Phase 3 trial of IMNN-001, including expansion to additional sites and enrollment exceeding the Company’s expectations, strong levels of support and interest from investigators and the scientific community, and key clinical and other milestones for the company moving forward.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25, 2026, the Company announced final data from the completed Phase 2 OVATION 2 clinical trial evaluating IMNN-001 in combination with standard of care (SoC) neoadjuvant and adjuvant chemotherapy. Imunon initially reported a median 11.1 month increase in overall survival (40.5 vs. 29.4 months) in the IMNN-001 treatment arm compared to SoC chemotherapy alone. Following the final data assessment, the Company reported a median 14.7 month increase in overall survival (45.1 vs. 30.4 months) in women in the IMNN-001 treatment arm compared to SoC alone, demonstrating continuous improvement in overall survival (3.6 delta). In addition, the final IMNN-001 data showed that women treated with IMNN-001 and SoC chemotherapy plus poly ADP-ribose polymerase (PARP) inhibitors as part of maintenance therapy achieved a median increase in overall survival of 24.2 months (65.6 vs. 41.4 months) compared to SoC chemotherapy alone.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Importantly, with these final efficacy results, IMNN-001 continued to show a highly favorable safety and tolerability profile across all clinical trials, further reinforcing the potential of this IL-12 immunotherapy to represent an important advance in the treatment of ovarian cancer.</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3 Study. </w:t>
      </w:r>
      <w:r>
        <w:rPr>
          <w:rFonts w:ascii="Times New Roman" w:cs="Times New Roman" w:eastAsia="Times New Roman" w:hAnsi="Times New Roman"/>
          <w:sz w:val="18"/>
          <w:szCs w:val="18"/>
          <w:color w:val="auto"/>
        </w:rPr>
        <w:t>On September 11, 2024, a scientific advisory board was held with DSMB members, principal investigators, and scientific experts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discuss and seek input on the protocol synopsis for the Phase III trial. A protocol synopsis was submitted along with a briefing document for review and input at the End-of-Phase II (“EOP2”) meeting with the U.S. Food and Drug Administration focused on the Phase III study. The EOP2 meeting was conducted in the fourth quarter of 2024.</w:t>
      </w:r>
    </w:p>
    <w:p>
      <w:pPr>
        <w:spacing w:after="0" w:line="180" w:lineRule="exact"/>
        <w:rPr>
          <w:sz w:val="20"/>
          <w:szCs w:val="20"/>
          <w:color w:val="auto"/>
        </w:rPr>
      </w:pPr>
    </w:p>
    <w:p>
      <w:pPr>
        <w:jc w:val="both"/>
        <w:ind w:left="660" w:hanging="328"/>
        <w:spacing w:after="0" w:line="237"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positive outcome of the EOP2 in-person meeting with the U.S. Food and Drug Administration (FDA), supported the advancement of IMNN-001 for the treatment of advanced ovarian cancer into a Phase 3 pivotal study. The interaction with the FDA included an extensive review of data generated to date, including positive results from the recently completed Phase 2 OVATION 2 Study, which assessed IMNN-001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administered intraperitoneally weekly) plus neoadjuvant and adjuvant chemotherapy (NACT) of paclitaxel and carboplatin compared to standard-of-care NACT alone in 112 patients with newly diagnosed advanced ovarian cancer. Treatment was also generally well tolerated, with no reports of cytokine release syndrome or any other serious immune-related adverse events.</w:t>
      </w:r>
    </w:p>
    <w:p>
      <w:pPr>
        <w:spacing w:after="0" w:line="20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held a Type C Chemistry, Manufacturing, and Controls (CMC) meeting with the FDA regarding production of IMNN-001 for the treatment of women with newly diagnosed advanced ovarian cancer. The goal of the meeting was to seek alignment and agreement with the FDA on key CMC topics to support IMNN-001 production for the planned Phase 3 pivotal trial and a potential future new biologic license application (BLA) submission. The meeting with the FDA included a review of the Company’s current good manufacturing practice (cGMP) clinical-scale and commercial manufacturing process for IMNN-001, conducted at the company’s manufacturing facility based in Huntsville, Alabama. The Agency agreed that the Company’s potency assay which measures interferon-gamma (IFN-γ) is acceptable for the Phase 3 clinical study and for use in a commercial setting for release of drug product. The FDA also agreed with the Company’s strategy to establish comparability of the core components of IMNN-001 produced by the Company with product previously produced through an external contract development and manufacturing organization.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jc w:val="both"/>
        <w:spacing w:after="0" w:line="238" w:lineRule="auto"/>
        <w:rPr>
          <w:sz w:val="20"/>
          <w:szCs w:val="20"/>
          <w:color w:val="auto"/>
        </w:rPr>
      </w:pPr>
      <w:r>
        <w:rPr>
          <w:rFonts w:ascii="Times New Roman" w:cs="Times New Roman" w:eastAsia="Times New Roman" w:hAnsi="Times New Roman"/>
          <w:sz w:val="18"/>
          <w:szCs w:val="18"/>
          <w:color w:val="auto"/>
        </w:rPr>
        <w:t>The Phase 3 OVATION 3 trial will assess the safety and efficacy of IMNN-001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administered intraperitoneally weekly) plus neoadjuvant and adjuvant chemotherapy (NACT) of paclitaxel and carboplatin compared to standard of care (SoC) NACT alone. Study participants are being randomized 1:1 and include women with newly diagnosed advanced ovarian cancer (stage 3 or 4) who are eligible for neoadjuvant therapy, the intent-to-treat (ITT) population, with a sub-group of women positive for homologous recombination deficiency (HRD) including BRCA1 or BRCA2 mutations. Participants who are HRD positive will receive poly (ADP-ribose) polymerase (PARP) inhibitors as part of standard maintenance therapy. The primary endpoint of the study is overall survival (OS), and secondary endpoints are surgical response score, chemotherapy response score, clinical response and time to second-line treatment. The study will also assess several exploratory endpoints.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2025, the Company announced that the FDA is aligned with the protocol for the Phase 3 OVATION 3 pivotal trial of its lead candidate IMNN-001 in development for the treatment of women with newly diagnosed advanced ovarian cancer. The Company is currently enrolling patients at four trial sites with additional sites being considered for activation.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seven sites are open to recruitment, Providence Sacred Heart Medical Center &amp; Children’s Hospital, Washington University School of Medicine in St. Louis, Providence Cancer Institute in Portland, Erlanger Health in Chattanooga, Advent Health, Sanford Health, and the Medical College of Wisconsin with up to 43 additional sites being considered for activation. As of March 31, 2026, enrollment in the ITT population remains on track to complete enrolment by the first half of 2029.</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IMNN-001 in Combination with Bevacizumab. </w:t>
      </w:r>
      <w:r>
        <w:rPr>
          <w:rFonts w:ascii="Times New Roman" w:cs="Times New Roman" w:eastAsia="Times New Roman" w:hAnsi="Times New Roman"/>
          <w:sz w:val="18"/>
          <w:szCs w:val="18"/>
          <w:color w:val="auto"/>
        </w:rPr>
        <w:t>In February 2023, the Company and Break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Cancer, a public foundation dedicated to supporting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translational research in the most difficult-to-treat cancers that partners with top cancer research centers, announced the commencement of patient enrollment in a collaboration to evaluate IMNN-001 in combination with bevacizumab in patients with advanced ovarian cancer in the frontline, neoadjuvant clinical setting.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Phase I/II study, titled “Targeting Ovarian Cancer Minimal Residual Disease (MRD) Using Immune and DNA Repair Directed Therapies,” is expected to enroll 50 patients with Stage III/IV advanced ovarian cancer and is being led by principal investigator Amir Jazaeri, M.D., Vice Chair for Clinical Research and Director of the Gynecologic Cancer Immunotherapy Program in the Department of Gynecologic Oncology and Reproductive Medicine at MD Anderson. Dana-Farber Cancer Institute, The Sidney Kimmel Comprehensive Cancer Center at Johns Hopkins and Memorial Sloan Kettering Cancer Center will also be participating in the trial. In addition, The Koch Institute for Integrative Cancer Research at the Massachusetts Institute of Technology (MIT) will provide artificial intelligence services including biomarker and genomic analysis.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Patients are randomized 1:1 in a two-arm trial. In October 2023, the first patient began treatment at University of Texas MD Anderson Cancer Center in the Phase I/II Clinical Trial Evaluating IMNN-001 in Combination with Bevacizumab in Advanced Ovarian Cancer. The trial’s primary endpoint is detection of minimal residual disease (MRD) by second look laparoscopy (SLL), and the secondary endpoint is PFS. SLL data are expected within one year following the completion of enrollment and final PFS data are expected approximately three years following the completion of enrollment. This trial will also include a wealth of translational endpoints aimed at understanding the clonal evolution and immunogenomic features of the MRD phase of ovarian cancer that is currently undetectable by imaging or tumor markers.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 review of the MRD study accomplishments as of September 19, 2025, was conducted and it was determined that study goals contributing to the IMNN-001 development plan and Break </w:t>
      </w:r>
      <w:r>
        <w:rPr>
          <w:rFonts w:ascii="Times New Roman" w:cs="Times New Roman" w:eastAsia="Times New Roman" w:hAnsi="Times New Roman"/>
          <w:sz w:val="18"/>
          <w:szCs w:val="18"/>
          <w:i w:val="1"/>
          <w:iCs w:val="1"/>
          <w:color w:val="auto"/>
        </w:rPr>
        <w:t>Through</w:t>
      </w:r>
      <w:r>
        <w:rPr>
          <w:rFonts w:ascii="Times New Roman" w:cs="Times New Roman" w:eastAsia="Times New Roman" w:hAnsi="Times New Roman"/>
          <w:sz w:val="18"/>
          <w:szCs w:val="18"/>
          <w:color w:val="auto"/>
        </w:rPr>
        <w:t xml:space="preserve"> Cancer study objectives can be accomplished in a trial of 30 patients. A decision was made to complete enrollment of the trial once the ITT population has reached 30 patients.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ITT population was at twenty-two (22) patients randomized and treated in the study at the University of Texas MD Anderson Cancer Center and Memorial Sloan Kettering Cancer Center. and Stephenson Cancer Center at University of Oklahoma have been added as clinical sites for this study and are open to recruitment.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PLACCINE DNA VACCINE MODALITY: IMNN-101</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Imunon’s PLACCINE DNA vaccine modality (“PLACCINE”) is a novel DNA-based, investigational vaccine for preventing or treating infections from a broad range of infectious agents and is We believe it is adaptable to creating vaccines for a multitude of pathogens, including emerging pathogens leading to pandemics as well as infectious diseases that have yet to be effectively addressed with current vaccine technologies. This flexible vaccine platform is well supported by an established supply chain to produce any plasmid vector and its assembly into a respective vaccine formulation.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need for new vaccine technologies is urgent. Since 1980, more than 80 pathogenic viruses have been discovered, yet fewer than 4% have a commercially available prophylactic vaccine. We have engaged with the Biomedical Advanced Research and Development Authority (“BARDA”), a division of the U.S. Department of Health and Human Services, to consider certain pathogens BARDA has identified as the most urgent and the most important.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PLACCINE is an extension of the Company’s synthetic, non-viral TheraPlas delivery technology currently in development for the treatment of late-stage ovarian cancer with IMNN-001. Imunon’s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Imunon’s extensive experience with TheraPlas suggests that the PLACCINE-based nanoparticles are stable at storage temperatures of 4°C to 25°C, making vaccines developed on this platform easily suitable for broad world-wide distribution.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Imunon’s vaccine approach is designed to optimize the quality of the immune response dictating the efficiency of pathogen clearance and patient recovery. Imunon has taken a multivalent approach in an effort to generate an even more robust immune response that not only results in a strong neutralizing antibody response, but also a more robust and durable T-cell response. Delivered with Imunon’s synthetic polymeric system, the proprietary DNA plasmid is protected from degradation and its cellular uptake is facilitated.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Next Generation Vaccine Initiative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Imunon’s vaccine candidate comprises a single plasmid vector containing the DNA sequence encoding multiple SARS-CoV-2 antigens. Delivery will be evaluated intramuscularly, intradermally, or subcutaneously with a non-viral synthetic DNA delivery carrier that facilitates vector delivery into the cells of the injected tissue and has potential immune adjuvant properties. Unique designs and formulations of Imunon vaccine candidates may offer several potential key advantages.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vaccine technology will need to address viral mutations and the challenges of efficient manufacturing, distribution, and storage. We believe the adaptation of our TheraPlas technology, PLACCINE, has the potential to meet these challenges. Our approach is summarized as a DNA vaccine technology platform characterized by a single plasmid DNA with multiple coding regions. The plasmid vector is designed to express multiple pathogen antigens. It is delivered via a synthetic delivery system and has the potential to be easily modified to create vaccines against a multitude of infectious diseases, addressing:</w:t>
      </w:r>
    </w:p>
    <w:p>
      <w:pPr>
        <w:spacing w:after="0" w:line="179" w:lineRule="exact"/>
        <w:rPr>
          <w:sz w:val="20"/>
          <w:szCs w:val="20"/>
          <w:color w:val="auto"/>
        </w:rPr>
      </w:pPr>
    </w:p>
    <w:p>
      <w:pPr>
        <w:ind w:left="980" w:right="20" w:hanging="324"/>
        <w:spacing w:after="0" w:line="286"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Viral Mutations</w:t>
      </w:r>
      <w:r>
        <w:rPr>
          <w:rFonts w:ascii="Times New Roman" w:cs="Times New Roman" w:eastAsia="Times New Roman" w:hAnsi="Times New Roman"/>
          <w:sz w:val="18"/>
          <w:szCs w:val="18"/>
          <w:color w:val="auto"/>
        </w:rPr>
        <w:t>: PLACCINE may offer broad-spectrum and mutational resistance (variants) by targeting multiple antigens on a single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plasmid vector.</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Durable Efficacy</w:t>
      </w:r>
      <w:r>
        <w:rPr>
          <w:rFonts w:ascii="Times New Roman" w:cs="Times New Roman" w:eastAsia="Times New Roman" w:hAnsi="Times New Roman"/>
          <w:sz w:val="18"/>
          <w:szCs w:val="18"/>
          <w:color w:val="auto"/>
        </w:rPr>
        <w:t>: PLACCINE delivers a DNA plasmid-based antigen that could result in durable antigen exposure and a robust vaccine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 to viral antigens.</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Storage &amp; Distribution</w:t>
      </w:r>
      <w:r>
        <w:rPr>
          <w:rFonts w:ascii="Times New Roman" w:cs="Times New Roman" w:eastAsia="Times New Roman" w:hAnsi="Times New Roman"/>
          <w:sz w:val="18"/>
          <w:szCs w:val="18"/>
          <w:color w:val="auto"/>
        </w:rPr>
        <w:t>: PLACCINE allows for stability that is compatible with manageable vaccine storage and distribution.</w:t>
      </w:r>
    </w:p>
    <w:p>
      <w:pPr>
        <w:spacing w:after="0" w:line="225"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Simple Dosing &amp; Administration</w:t>
      </w:r>
      <w:r>
        <w:rPr>
          <w:rFonts w:ascii="Times New Roman" w:cs="Times New Roman" w:eastAsia="Times New Roman" w:hAnsi="Times New Roman"/>
          <w:sz w:val="18"/>
          <w:szCs w:val="18"/>
          <w:color w:val="auto"/>
        </w:rPr>
        <w:t>: PLACCINE is a synthetic delivery system that should require a simple injection that does not require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viruses or special equipment to deliver its payload.</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September 2, 2021, the Company announced results from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showing production of antibodies and cytotoxic T-cell response specific to the spike antigen of SARS-CoV-2 when immunizing BALB/c mice with the Company’s next-generation PLACCINE DNA vaccine platform. Moreover, the antibodies to SARS-CoV-2 spike antigen prevented the infection of cultured cells in a viral neutralization assay. The production of antibodies predicts the ability of PLACCINE to protect against SARS-CoV-2 exposure, and the elicitation of cytotoxic T-cell response shows the vaccine’s potential to eradicate cells infected with SARS-CoV-2. These findings demonstrated the potential immunogenicity of Imunon’s PLACCINE DNA vaccine, which is intended to provide broad-spectrum protection and resistance against variants by incorporating multiple viral antigens, to improve vaccine stability at storage temperatures of 4°C and above, and to facilitate cheaper and easier manufacturing.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31, 2022, the Company announced the initiation of a nonhuman primate (“NHP”) challenge study with Imunon’s DNA-based approach for a SARS-CoV-2 vaccine. The NHP pilot study followed the generation of encouraging mouse data and will evaluate the Company’s lead vaccine formulations for safety, immunogenicity and protection against SARS-CoV-2. In completed preclinical studies, Imunon demonstrated a favorable safety profile and efficient immune responses including IgG response, neutralizing antibodies and T-cell responses that parallel the activity of commercial vaccines following intramuscular (IM) administration of novel vaccine compositions expressing a single viral antigen. In addition, vector development has shown promise of neutralizing activity against a range of SARS-CoV-2 variants. Imunon’s DNA-based vaccines have been based on a simple intramuscular injection that does not require viral encapsulation or special equipment for administration.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April 2022, the Company presented its PLACCINE platform technology at the 2022 World Vaccine Congress in an oral presentation during a Session on Cancer and Immunotherapy. The presentation entitled: “</w:t>
      </w:r>
      <w:r>
        <w:rPr>
          <w:rFonts w:ascii="Times New Roman" w:cs="Times New Roman" w:eastAsia="Times New Roman" w:hAnsi="Times New Roman"/>
          <w:sz w:val="18"/>
          <w:szCs w:val="18"/>
          <w:i w:val="1"/>
          <w:iCs w:val="1"/>
          <w:color w:val="auto"/>
        </w:rPr>
        <w:t>Novel DNA Approaches for Cancer Immunotherapies and Multivalent Infectious Disease Vaccines</w:t>
      </w:r>
      <w:r>
        <w:rPr>
          <w:rFonts w:ascii="Times New Roman" w:cs="Times New Roman" w:eastAsia="Times New Roman" w:hAnsi="Times New Roman"/>
          <w:sz w:val="18"/>
          <w:szCs w:val="18"/>
          <w:color w:val="auto"/>
        </w:rPr>
        <w:t>” highlighted the Company’s technology platform.</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PLACCINE has demonstrated the potential to be a powerful platform that provides for rapid design capability for targeting two or more different variants of a single virus in one vaccine. There is a clear public health need for vaccines today that address more than one strain of viruses, like COVID-19, which have fast evolving variant capability to offer the widest possible protection. Murine model data has thus far been encouraging and suggests that the Company’s approach provides not only flexibility, but also the potential for efficacy comparable to benchmark COVID-19 commercial vaccines with durability to protect for more than six months.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Company provided an update on the progress made in the development of a DNA-based vaccine using its PLACCINE platform technology. The Company reported evidence of IgG, neutralizing antibody, and T-cell responses to its SARS-CoV-2 PLACCINE vaccines in normal mice. In this murine model, the Company’s multivalent PLACCINE vaccine targeted against two different variants showed to be immunogenic as determined by the levels of IgG, neutralizing antibodies, and T-cell responses. Additionally, our multivalent vaccine was equally effective against two different variants of the COVID-19 virus while the commercial mRNA vaccine appeared to have lost some activity against the newer variant.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Final data from its now completed proof-of-concept (“PoC”) mouse challenge study confirmed that a PLACCINE DNA-based vaccine can produce robust levels of IgG, neutralizing antibodies, and T-cell responses. The data demonstrated the ability of the Company’s PLACCINE vaccine to protect a SARS-CoV-2 mouse model in a live viral challenge. In the study, mice were vaccinated with a PLACCINE vaccine expressing the SARS-CoV-2 spike antigen from the D614G variant or the Delta variant, or a combination vaccine expressing both the D614G and Delta spike variants. The vaccination was administered by intramuscular injection on Day 0 and Day 14, followed by challenge with live SARS-CoV-2 virus on Day 42. All three vaccines, including the single and dual antigen vaccines, were found to have a favorable safety profile and elicited IgG responses and inhibited the viral load by 90-95%. The dual antigen vaccine was equally effective against both variants of the SARS CoV-2 virus.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2022, the Company reported partial results from an ongoing non-human primate study designed to examine the immunogenicity of its proprietary PLACCINE vaccine which supported PLACCINE as a viable alternative to mRNA vaccines. The study examined a single plasmid DNA vector containing the SARS-CoV-2 Alpha variant spike antigen formulated with a synthetic DNA delivery system and administered by intramuscular injection. In the study, Cynomolgus monkeys were vaccinated with the PLACCINE vaccine or a commercial mRNA vaccine on Day 1, 28 and 84. Analysis of blood samples for IgG and neutralizing antibodies showed evidence of immunogenicity both in PLACCINE and mRNA vaccinated subjects. Analysis of bronchoalveolar lavage for viral load by quantitative PCR showed viral clearance by &gt;90% of the non-vaccinated controls. Viral clearance from nasal swab followed a similar pattern in a majority of vaccinated animals and a similar clearance profile was observed when viral load was analyzed by the tissue culture infectious dose method.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2023, the Company announced final results from the NHP study involving three vaccine-treated non-human primates. The final data were consistent with the earlier data and showed excellent immunological response and viral clearance. More specifically, in this NHP study, we examined PLACCINE activity against a more advanced SARS-CoV-2 variants and at a DNA dose that was not previously tested in NHP and demonstrated robust IgG responses, neutralizing antibody responses and complete clearance of virus following the challenge as seen in the previous study.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2023, the Company filed with the FDA a pre-IND package in advance of beginning human testing of a SARS-CoV-2 seasonal booster vaccine. In July 2023, the FDA confirmed in a written response our plug and play strategy agreeing that a platform approach to pre-clinical toxicology testing with reference to updated SARS-CoV-2 genes that align with current variant of concern may be used without additional need for toxicology studies. This demonstrated the flexibility and versatility of our platform, which allows for the rapid production and development of any vaccine by simply changing the antigen coding cassette.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both"/>
        <w:spacing w:after="0" w:line="255" w:lineRule="auto"/>
        <w:rPr>
          <w:sz w:val="20"/>
          <w:szCs w:val="20"/>
          <w:color w:val="auto"/>
        </w:rPr>
      </w:pPr>
      <w:r>
        <w:rPr>
          <w:rFonts w:ascii="Times New Roman" w:cs="Times New Roman" w:eastAsia="Times New Roman" w:hAnsi="Times New Roman"/>
          <w:sz w:val="18"/>
          <w:szCs w:val="18"/>
          <w:color w:val="auto"/>
        </w:rPr>
        <w:t>On April 18, 2024, the Company announced that it received clearance from the FDA to begin a Phase I clinical trial with a seasonal COVID-19 booster vaccine. The Company filed an Investigational New Drug (IND) application for IMNN-101 in late February. The primary objectives of the Phase I study were to evaluate safety, tolerability, neutralizing antibody response, and the vaccine’s durability (duration of immunogenicity) in healthy adults. Secondary objectives of the study included evaluating the ability of the IMNN-101 vaccine to elicit binding antibodies and cellular responses and their associated durability. The Phase I study enrolled 24 subjects to evaluate three escalating doses of IMNN-101. For this study, IMMN-101 has been designed to protect against the SARS-CoV-2 Omicron XBB1.5 variant, in accordance with the FDA’s Vaccines and Related Biological Products Advisory Committee’s June 2023 announcement of the framework for updated COVID-19 doses.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2025, the Company announced topline safety and immunogenicity data from ongoing analyses of results from the Company’s Phase 1 proof-of-concept clinical trial of IMNN-101. The Phase 1 study was conducted in 24 healthy volunteers as a seasonal COVID-19 vaccine, targeting the SARS-CoV-2 Omicron XBB1.5 spike antigen. IMNN-101 was administered as a single dose vaccine without a booster dose in study participants who were previously vaccinated against the Omicron XBB1.5 variant. Results demonstrated that IMNN-101 is safe and well-tolerated with no serious adverse effects. IMNN-101 induced a persistent 2- to 4-fold increase in serum neutralizing antibody (NAb) titers from baseline through Week 4, further increasing NAb titers between Week 2 and Week 4. The immune response was observed against the XBB1.5 variant and many newer variants following treatment, demonstrating the IMNN-101 vaccine’s cross-reactivity.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15, 2025, the Company announced new data from its first Phase 1 proof-of-concept clinical trial of IMNN-101. Results in 24 healthy volunteers demonstrated IMNN-101’s durability of protection at six months after a single dose targeting the SARS-CoV-2 Omicron XBB1.5 spike antigen variant. IMNN-101 induced up to a 3-fold median increase in the serum neutralizing antibody (NAb) titers from baseline at six months, with initial evidence of a stronger immune response in two higher dose cohorts (2.0 mg and 1.0 mg) compared to a lower dose cohort (0.5 mg). The highest observed increase among the participating volunteers was 8-fold from baseline. IMNN-101 continues to be safe and well tolerated, with no serious adverse effects reported.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Phase 1 trial, designed to demonstrate the advantages of Imunon’s technology compared to approved messenger RNA (mRNA) vaccines, IMNN-101 was administered as a single dose vaccine without a booster dose in study participants who were previously vaccinated against the Omicron XBB1.5 variant. Study participants had high baseline immune characteristics, presumably from prior infection and multiple previous vaccinations against COVID-19, and ongoing infection. Modest increases in T-cell responses were observed in trial participants who received multiple immunizations prior to the study. Results from the Phase 1 trial build on data previously announced in February 2025, which showed IMNN-101 induced a persistent 2- to 4-fold increase in serum NAb titers from baseline through Week 4, further increasing NAb titers between Week 2 and Week 4. The immune response was also observed against the XBB1.5 variant and many newer variants following treatment, demonstrating the IMNN-101 vaccine’s cross-reactivity. The Phase 1 clinical data of IMNN-101 is consistent with strong evidence of immunogenicity and protection for the PlaCCine platform in rodents and non-human primates, with prior preclinical results showing comparable protection efficiency (&gt;95%) to a commercial mRNA vaccine in non-human primates.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Phase I trial was designed to establish proof of concept (PoC) for IMNN-101 as an advancement in vaccine technology. Imunon intends to seek partnership and/or business development opportunities to develop the scientific and business case for IMNN-101 as a future vaccine to address viral mutations. The Company has paused further development of this study at the current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Plan and Going Concern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generated and do not expect to generate any revenue from product sales in the next several years, if at all. An element of our business strategy has been to pursue, as resources permit, the research and development of a range of drug candidates for a variety of indications. We may also evaluate licensing products from third parties to expand our current product pipeline. This is intended to allow us to diversify the risks associated with our research and development expenditures. To the extent we are unable to maintain a broad range of drug candidates, our dependence on the success of one or a few drug candidates would increase and would have a more significant impact on our financial prospects, financial condition, and market value. We may also consider and evaluate strategic alternatives, including investment in, or acquisition of, complementary businesses, technologies, or products.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business strategy includes the possibility of entering into collaborative arrangements with third parties to complete the development and commercialization of our drug candidates. In the event that third parties are contracted to manage the clinical trial process for one or more of our drug candidates, the estimated completion date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 However, we cannot forecast with any degree of certainty whether we will be selected to receive any subsidy, grant or governmental funding.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2026, the Company had $4.8 million in cash and cash equivalents to fund its operations. The Company’s primary sources of cash have been proceeds from the issuance and sale of its common stock, including via its at-the-market (“ATM”) program and other potential funding transactions. There can be no assurance that the Company will be able to do so in the future on a timely basis on terms acceptable to the Company, or at all. The Company has not yet commercialized any of its product candidates. Even if the Company commercializes one or more of its product candidates, it may not become profitable in the near term. The Company’s ability to achieve profitability depends on several factors, including its ability to obtain regulatory approval for its product candidates, successfully complete any post-approval regulatory obligations and successfully commercialize its product candidates alone or in partnership.</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conditions raise substantial doubts about the Company’s ability to continue as a going concern. Based on the above, management has determined there is substantial doubt regarding our ability to continue as a going concern. The report of our independent registered public accounting firm for the year ended December 31, 2025, includes an explanatory paragraph which expresses substantial doubt about our ability to continue as a going concern. See also Note 2 to the Condensed Consolidated Financial Statements contained in this Quarterly Report on Form 10-Q.</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includes raising funds from outside investors through the issuance and sale of its common stock, including the use of its at-the-market (“ATM”) program and other potential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the risks and uncertainties discussed in the 2025 Annual Report filed on March 31, 2026 with the SEC, among others, we are unable to estimate the duration and completion costs of our research and development projects or when, if ever, and to what extent we will receive cash inflows from the commercialization and sale of a product if one of our drug candidates receives regulatory approval for marketing, if at all.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and development activities, preclinical studies and clinical trials, or whether we are in a position to pursue manufacturing or commercialization activities, we will need significant additional capital to progress our drug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Debt and Other Forms of Financing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and for the three months ending March 31, 2026, we issued a total of 3.2 million shares of common stock as discussed below for approximately $14.9 million in net proceeds. Subsequent to March 31, 2026 and through the date of this Quarterly Report on Form 10-Q, we issued another 146,354 shares of common stock under the at-the-market (“ATM”) program for net proceeds of $417,447.</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15, 2024, the Company filed with the SEC a shelf registration statement on Form S-3 (the “2024 Registration Statement”) for the offer and sale of up to $75 million of its securities. The 2024 Registration Statement was declared effective on May 22, 2024. The 2024 Registration Statement is intended to provide the Company with flexibility to raise capital in the future for general corporate purposes. As noted in the prospectus supplement that the Company filed on July 22, 2025, the aggregate market value of our outstanding Common Stock held by non-affiliates was approximately $79,075,969, based on 2,121,895 shares of Common Stock outstanding as of July 22, 2025, of which 2,100,291 shares were held by non-affiliates, and a price of $37.65 per share, which was the last reported sale price of our Common Stock on The Nasdaq Stock Market LLC (“Nasdaq”) on June 2, 2025. As a result, our public float increased above $75.0 million, and we were no longer subject to the limitations contained in General Instruction I.B.6 of Form S-3. Upon the filing of the Form 10-K on March 31, 2026, the Company’s public float was less than $75.0 million, and as a result, the Company is currently subject to the limitations contained in General Instruction I.B.6 of Form S-3.</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included in our 2025 Annual Report on Form 10-K for the year ended December 31, 2025 filed with the SEC on March 31, 2026. See Note 3 to the Condensed Consolidated Financial Statements contained in this Quarterly Report on Form 10-Q.</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clinical-stage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REVIEW FOR THE THREE MONTHS ENDED MARCH 31,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our net loss was $4.3 million compared to a net loss of $4.1 million for the same three-month period of 2025.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$4.8 million in cash and cash equivalents at March 31, 2026, such conditions raise substantial doubts about the Company’s ability to continue as a going concern. Based on the above, management has determined there is substantial doubt regarding our ability to continue a going concern.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includes raising funds from the issuance and sale of its common stock via its ATM program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in one segment for the research and development of our product candidates. The Company’s chief operating decision maker (“CODM”) has been identified as the Chief Executive Officer and President, who reviews operating results to make decisions about allocating resources and assessing performance for the entire Company based on consolidated financial information. Consequently, we view the entire organization as one reportable segment and the strategic purpose of all operating activities (including general &amp; administrative expenses) is to support that one segment. As a pre-revenue research and development company, the CODM evaluates company-wide performance and allocates resources based on non-financial research and development milestones achieved, and to a lesser extent, financial measures of performance such as clinical development (research and development expenses) and general and administrative expenses incurred. Our CODM does not generally evaluate our performance using asset or historical cash flow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summary of the significant expense categories and consolidated net loss details provided to the CODM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three months ending March 31,</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Change Increase (Decrease)</w:t>
            </w: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Research</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 2 and MRD Trials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105</w:t>
            </w:r>
          </w:p>
        </w:tc>
        <w:tc>
          <w:tcPr>
            <w:tcW w:w="6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(29)</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OVATION 3 Trial</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21</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PlaCCine Vaccine Phase 1 Trial</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(55)</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Clinical and Regulatory</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574</w:t>
            </w:r>
          </w:p>
        </w:tc>
        <w:tc>
          <w:tcPr>
            <w:tcW w:w="300" w:type="dxa"/>
            <w:vAlign w:val="bottom"/>
          </w:tcPr>
          <w:p>
            <w:pPr>
              <w:spacing w:after="0"/>
              <w:rPr>
                <w:sz w:val="19"/>
                <w:szCs w:val="19"/>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r>
      <w:tr>
        <w:trPr>
          <w:trHeight w:val="20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Non-Clinical R&amp;D and CMC</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 Program</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913</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380</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Manufacturing (CMC)</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406</w:t>
            </w:r>
          </w:p>
        </w:tc>
        <w:tc>
          <w:tcPr>
            <w:tcW w:w="300" w:type="dxa"/>
            <w:vAlign w:val="bottom"/>
          </w:tcPr>
          <w:p>
            <w:pPr>
              <w:spacing w:after="0"/>
              <w:rPr>
                <w:sz w:val="19"/>
                <w:szCs w:val="19"/>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(59)</w:t>
            </w:r>
          </w:p>
        </w:tc>
        <w:tc>
          <w:tcPr>
            <w:tcW w:w="9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2,338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2,165</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173</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1,969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1,980</w:t>
            </w:r>
          </w:p>
        </w:tc>
        <w:tc>
          <w:tcPr>
            <w:tcW w:w="300" w:type="dxa"/>
            <w:vAlign w:val="bottom"/>
          </w:tcPr>
          <w:p>
            <w:pPr>
              <w:spacing w:after="0"/>
              <w:rPr>
                <w:sz w:val="19"/>
                <w:szCs w:val="19"/>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0"/>
        </w:trPr>
        <w:tc>
          <w:tcPr>
            <w:tcW w:w="42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3"/>
        </w:trPr>
        <w:tc>
          <w:tcPr>
            <w:tcW w:w="4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(“R&amp;D”) expenses increased to $2.3 million in the first quarter of 2026 from $2.2 million in the same period of 2025. Clinical costs associated with the OVATION 3 study was $0.1 million each of the first quarters of 2026 and 2025. Clinical costs associated with the OVATION 2 study was $0.1 million each of the first quarters of 2026 and 2025. During 2025, the Company initiated enrollment in the OVATION 3 Study and closed out the OVATION 2 study. Other clinical and regulatory costs remained relatively unchanged at $0.6 million in each of the first quarters of 2026 and 2025. R&amp;D costs associated with the development of IMNN-001 to support the OVATION program were $1.3 million in the first quarter of 2026 compared to $0.9 million in same period of 2025. CMC costs were $0.2 million in the first quarter of 2026 compared to $0.4 million in the same period of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remained relatively unchanged at $2.0 million in each of the first quarters of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from the Company’s short-term investments was $58,000 for the first quarter of 2026 compared to $43,000 for the same period in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we have incurred significant losses and negative cash flows from operations. We have financed our operations primarily through the net proceeds from the sales of equity, credit facilities and amounts received under product licensing agreements. The process of developing IMNN-001 and other drug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income, and we had an accumulated deficit of $426 million at March 31, 2026.</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2026, we had total current assets of $6.2 million and current liabilities of $4.2 million, resulting in net working capital of $2.0 million. At March 31, 2026, we had cash and cash equivalents of $4.8 million. At December 31, 2025, we had total current assets of $10.7 million and current liabilities of $4.6 million, resulting in net working capital of $6.1 million. We have substantial future capital requirements to continue our research and development activities and advance our drug candidates through various development stages. The Company believes these expenditures are essential for the commercialization of its technologies.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for the first three months of 2026 was $4.0 million. Net cash associated with investing activities was insignificant during the first three months of 2026.</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continue to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drug candidates, or products we would otherwise seek to develop or commercialize on our own, or to license the rights to our technologies, drug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drug candidates, or products on terms not favorable to us.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Such conditions raise substantial doubts about the Company’s ability to continue as a going concern. Management’s plan includes raising funds from the issuance and sale of its common stock via its ATM program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the information required under this item.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March 31, 2026,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that occurred during the period covered by this report that have materially affected, or are reasonably likely to materially affect, our internal control over financial reporting.</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risk factors from those disclosed under “Risk Factors” in Part I, Item 1A of our 2025 Annual Report on Form 10-K. The risks and uncertainties described in our 2025 Annual Report on Form 10-K are not the only ones we face. Additional risks and uncertainties not presently known to us or that we currently deem immaterial may also materially adversely affect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no directors or executive officers entered into, modified or terminated, contracts, instructions or written plans for the sale or purchase of the Company’s securities that were intended to satisfy the affirmative defense conditions of Rule 10b5-1.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jc w:val="both"/>
        <w:ind w:left="780" w:hanging="768"/>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50">
        <w:r>
          <w:rPr>
            <w:rFonts w:ascii="Times New Roman" w:cs="Times New Roman" w:eastAsia="Times New Roman" w:hAnsi="Times New Roman"/>
            <w:sz w:val="18"/>
            <w:szCs w:val="18"/>
            <w:u w:val="single" w:color="auto"/>
            <w:color w:val="0000EE"/>
          </w:rPr>
          <w:t>Retirement and Consulting Agreement dated February 4, 2026, between Imunon, Inc. and Khursheed Anwer, incorporated by reference to</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Exhibit 10.1 to the Current Report on Form 8-K of the Company filed on February 5, 2026.</w:t>
        </w:r>
      </w:hyperlink>
    </w:p>
    <w:p>
      <w:pPr>
        <w:spacing w:after="0" w:line="16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Rule 13a-14(a)/15d-14(a), as adopted pursuant to Section 302 of the Sarbanes-Oxley Act of</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0000EE"/>
        </w:rPr>
        <w:t>2002.</w:t>
      </w:r>
    </w:p>
    <w:p>
      <w:pPr>
        <w:spacing w:after="0" w:line="20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pursuant to Rule 13a-14(a)/15d-14(a), as adopted pursuant to Section 302 of the Sarbanes-Oxley Act of</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0000EE"/>
        </w:rPr>
        <w:t>2002.</w:t>
      </w:r>
    </w:p>
    <w:p>
      <w:pPr>
        <w:spacing w:after="0" w:line="20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0000EE"/>
        </w:rPr>
        <w:t>Certification pursuant to 18 U.S.C. Section 1350, as adopted pursuant to Section 906 of the Sarbanes-Oxley Act of 2002.</w:t>
      </w:r>
    </w:p>
    <w:p>
      <w:pPr>
        <w:spacing w:after="0" w:line="225" w:lineRule="exact"/>
        <w:rPr>
          <w:sz w:val="20"/>
          <w:szCs w:val="20"/>
          <w:color w:val="auto"/>
        </w:rPr>
      </w:pPr>
    </w:p>
    <w:p>
      <w:pPr>
        <w:jc w:val="both"/>
        <w:ind w:left="780" w:hanging="779"/>
        <w:spacing w:after="0" w:line="261" w:lineRule="auto"/>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materials from the Company’s Quarterly Report on Form 10-Q for the quarter ended March 31, 2026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80" w:lineRule="exact"/>
        <w:rPr>
          <w:sz w:val="20"/>
          <w:szCs w:val="20"/>
          <w:color w:val="auto"/>
        </w:rPr>
      </w:pPr>
    </w:p>
    <w:p>
      <w:pPr>
        <w:ind w:left="780" w:hanging="772"/>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780" w:hanging="772"/>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5" w:lineRule="exact"/>
        <w:rPr>
          <w:sz w:val="20"/>
          <w:szCs w:val="20"/>
          <w:color w:val="auto"/>
        </w:rPr>
      </w:pPr>
    </w:p>
    <w:p>
      <w:pPr>
        <w:jc w:val="both"/>
        <w:ind w:left="780" w:hanging="772"/>
        <w:spacing w:after="0" w:line="261"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0" w:lineRule="exact"/>
        <w:rPr>
          <w:sz w:val="20"/>
          <w:szCs w:val="20"/>
          <w:color w:val="auto"/>
        </w:rPr>
      </w:pPr>
    </w:p>
    <w:p>
      <w:pPr>
        <w:ind w:left="780" w:hanging="772"/>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information is filed herewith.</w:t>
      </w:r>
    </w:p>
    <w:p>
      <w:pPr>
        <w:spacing w:after="0" w:line="225" w:lineRule="exact"/>
        <w:rPr>
          <w:sz w:val="20"/>
          <w:szCs w:val="20"/>
          <w:color w:val="auto"/>
        </w:rPr>
      </w:pPr>
    </w:p>
    <w:p>
      <w:pPr>
        <w:ind w:left="5540" w:right="4680" w:hanging="5532"/>
        <w:spacing w:after="0" w:line="532" w:lineRule="auto"/>
        <w:tabs>
          <w:tab w:leader="none" w:pos="78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May 12, 2026</w:t>
      </w:r>
      <w:r>
        <w:rPr>
          <w:sz w:val="20"/>
          <w:szCs w:val="20"/>
          <w:color w:val="auto"/>
        </w:rPr>
        <w:tab/>
      </w:r>
      <w:r>
        <w:rPr>
          <w:rFonts w:ascii="Times New Roman" w:cs="Times New Roman" w:eastAsia="Times New Roman" w:hAnsi="Times New Roman"/>
          <w:sz w:val="18"/>
          <w:szCs w:val="18"/>
          <w:b w:val="1"/>
          <w:bCs w:val="1"/>
          <w:color w:val="auto"/>
        </w:rPr>
        <w:t>IMUNON,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R. Lindborg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Stacy R. Lindborg, Ph.D.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Jeffery W. Church</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Stacy R. Lindborg Ph.D., certify that:</w:t>
      </w:r>
    </w:p>
    <w:p>
      <w:pPr>
        <w:spacing w:after="0" w:line="22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Imunon,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(f)), for the registrant and have:</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800" w:type="dxa"/>
            <w:vAlign w:val="bottom"/>
            <w:gridSpan w:val="2"/>
          </w:tcPr>
          <w:p>
            <w:pPr>
              <w:ind w:left="2420"/>
              <w:spacing w:after="0"/>
              <w:rPr>
                <w:sz w:val="20"/>
                <w:szCs w:val="20"/>
                <w:color w:val="auto"/>
              </w:rPr>
            </w:pPr>
            <w:r>
              <w:rPr>
                <w:rFonts w:ascii="Times New Roman" w:cs="Times New Roman" w:eastAsia="Times New Roman" w:hAnsi="Times New Roman"/>
                <w:sz w:val="18"/>
                <w:szCs w:val="18"/>
                <w:b w:val="1"/>
                <w:bCs w:val="1"/>
                <w:color w:val="auto"/>
              </w:rPr>
              <w:t>Imunon,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May 12, 2026</w:t>
            </w:r>
          </w:p>
        </w:tc>
        <w:tc>
          <w:tcPr>
            <w:tcW w:w="78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Stacy R. Lindborg Ph.D.</w:t>
            </w:r>
          </w:p>
        </w:tc>
      </w:tr>
      <w:tr>
        <w:trPr>
          <w:trHeight w:val="191"/>
        </w:trPr>
        <w:tc>
          <w:tcPr>
            <w:tcW w:w="34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Stacy R. Lindborg Ph.D.</w:t>
            </w:r>
          </w:p>
        </w:tc>
      </w:tr>
      <w:tr>
        <w:trPr>
          <w:trHeight w:val="234"/>
        </w:trPr>
        <w:tc>
          <w:tcPr>
            <w:tcW w:w="3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4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W. Church, certify that:</w:t>
      </w:r>
    </w:p>
    <w:p>
      <w:pPr>
        <w:spacing w:after="0" w:line="22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Imunon,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(f)), for the registrant and have:</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920" w:type="dxa"/>
            <w:vAlign w:val="bottom"/>
            <w:gridSpan w:val="2"/>
          </w:tcPr>
          <w:p>
            <w:pPr>
              <w:ind w:left="2320"/>
              <w:spacing w:after="0"/>
              <w:rPr>
                <w:sz w:val="20"/>
                <w:szCs w:val="20"/>
                <w:color w:val="auto"/>
              </w:rPr>
            </w:pPr>
            <w:r>
              <w:rPr>
                <w:rFonts w:ascii="Times New Roman" w:cs="Times New Roman" w:eastAsia="Times New Roman" w:hAnsi="Times New Roman"/>
                <w:sz w:val="18"/>
                <w:szCs w:val="18"/>
                <w:b w:val="1"/>
                <w:bCs w:val="1"/>
                <w:color w:val="auto"/>
              </w:rPr>
              <w:t>Imunon, Inc.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May 12, 2026</w:t>
            </w:r>
          </w:p>
        </w:tc>
        <w:tc>
          <w:tcPr>
            <w:tcW w:w="79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Jeffrey W. Church</w:t>
            </w:r>
          </w:p>
        </w:tc>
      </w:tr>
      <w:tr>
        <w:trPr>
          <w:trHeight w:val="191"/>
        </w:trPr>
        <w:tc>
          <w:tcPr>
            <w:tcW w:w="33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Jeffrey W. Church</w:t>
            </w:r>
          </w:p>
        </w:tc>
      </w:tr>
      <w:tr>
        <w:trPr>
          <w:trHeight w:val="234"/>
        </w:trPr>
        <w:tc>
          <w:tcPr>
            <w:tcW w:w="3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March 31, 2026 of Imunon, Inc.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May 12, 2026</w:t>
            </w:r>
          </w:p>
        </w:tc>
        <w:tc>
          <w:tcPr>
            <w:tcW w:w="79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R. Lindborg Ph. D.</w:t>
            </w:r>
          </w:p>
        </w:tc>
      </w:tr>
      <w:tr>
        <w:trPr>
          <w:trHeight w:val="191"/>
        </w:trPr>
        <w:tc>
          <w:tcPr>
            <w:tcW w:w="33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Stacy R. Lindborg Ph.D.</w:t>
            </w:r>
          </w:p>
        </w:tc>
      </w:tr>
      <w:tr>
        <w:trPr>
          <w:trHeight w:val="234"/>
        </w:trPr>
        <w:tc>
          <w:tcPr>
            <w:tcW w:w="3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5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May 12, 2026</w:t>
            </w:r>
          </w:p>
        </w:tc>
        <w:tc>
          <w:tcPr>
            <w:tcW w:w="79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Jeffrey W. Church</w:t>
            </w:r>
          </w:p>
        </w:tc>
      </w:tr>
      <w:tr>
        <w:trPr>
          <w:trHeight w:val="191"/>
        </w:trPr>
        <w:tc>
          <w:tcPr>
            <w:tcW w:w="33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Jeffrey W. Church</w:t>
            </w:r>
          </w:p>
        </w:tc>
      </w:tr>
      <w:tr>
        <w:trPr>
          <w:trHeight w:val="234"/>
        </w:trPr>
        <w:tc>
          <w:tcPr>
            <w:tcW w:w="3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ind w:firstLine="8"/>
        <w:spacing w:after="0" w:line="266" w:lineRule="auto"/>
        <w:tabs>
          <w:tab w:leader="none" w:pos="1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amp;"/>
      <w:numFmt w:val="bullet"/>
      <w:start w:val="1"/>
    </w:lvl>
    <w:lvl w:ilvl="1">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lvl w:ilvl="1">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upperLetter"/>
      <w:start w:val="35"/>
    </w:lvl>
    <w:lvl w:ilvl="1">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lvl w:ilvl="1">
      <w:lvlJc w:val="left"/>
      <w:lvlText w:val="○"/>
      <w:numFmt w:val="bullet"/>
      <w:start w:val="1"/>
    </w:lvl>
  </w:abstractNum>
  <w:abstractNum w:abstractNumId="23">
    <w:nsid w:val="2901D82"/>
    <w:multiLevelType w:val="hybridMultilevel"/>
    <w:lvl w:ilvl="0">
      <w:lvlJc w:val="left"/>
      <w:lvlText w:val="●"/>
      <w:numFmt w:val="bullet"/>
      <w:start w:val="1"/>
    </w:lvl>
    <w:lvl w:ilvl="1">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04"/>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0" Type="http://schemas.openxmlformats.org/officeDocument/2006/relationships/hyperlink" Target="https://www.sec.gov/Archives/edgar/data/749647/00014931522600520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2026-05-12T07:48:17Z</dcterms:created>
  <dcterms:modified xsi:type="dcterms:W3CDTF">2026-05-12T07:48:17Z</dcterms:modified>
</cp:coreProperties>
</file>