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001-15911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4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LAWRENCEVILLE, NJ</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08648</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IMNN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206" w:gutter="0" w:footer="0" w:header="0"/>
        </w:sectPr>
      </w:pPr>
    </w:p>
    <w:bookmarkStart w:id="1" w:name="page2"/>
    <w:bookmarkEnd w:id="1"/>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$13.1 million as of June 30, 2022 (the last business day of the Registrant’s most recently completed second fiscal quarter) based on the closing sale price of $1.84 for the Registrant’s common stock on that date as reported by The Nasdaq Capital Market (“NASDAQ”). For purposes of this calculation, shares of common stock held by directors, officers and stockholders who own greater than 10% of the Registrant’s outstanding stock at June 30, 2022, were excluded. This determination of executive officers and directors as affiliates is not necessarily a conclusive determination for any other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2023, 9,089,789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for its 2023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5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54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54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78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OVERVIEW</w:t>
            </w:r>
          </w:p>
        </w:tc>
        <w:tc>
          <w:tcPr>
            <w:tcW w:w="6840" w:type="dxa"/>
            <w:vAlign w:val="bottom"/>
            <w:tcBorders>
              <w:bottom w:val="single" w:sz="8" w:color="CCEEFF"/>
            </w:tcBorders>
            <w:gridSpan w:val="3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IMMUNO-ONCOLOGY PROGRAM</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THERAPLAS Technology Platform</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Ovarian Cancer Overview</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IMNN-001 Immunotherapy</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OVATION I Study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OVATION 2 Study</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PLACCINE DNA VACCINE TECHNOLOGY PLATFORM</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COVID-19 Vaccine Overview</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Our Next Generation Vaccine Initiative</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THERMODOX® DIRECTED CHEMOTHERAPY</w:t>
            </w:r>
          </w:p>
        </w:tc>
        <w:tc>
          <w:tcPr>
            <w:tcW w:w="404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OPTIMA Study</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Investigator-Sponsored Studies with ThermoDox®</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BUSINESS STRATEGY AND DEVELOPMENT PLAN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778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RESEARCH AND DEVELOPMENT EXPENDITURES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920" w:type="dxa"/>
            <w:vAlign w:val="bottom"/>
            <w:tcBorders>
              <w:top w:val="single" w:sz="8" w:color="CCEEFF"/>
            </w:tcBorders>
          </w:tcPr>
          <w:p>
            <w:pPr>
              <w:spacing w:after="0"/>
              <w:rPr>
                <w:sz w:val="15"/>
                <w:szCs w:val="15"/>
                <w:color w:val="auto"/>
              </w:rPr>
            </w:pPr>
          </w:p>
        </w:tc>
        <w:tc>
          <w:tcPr>
            <w:tcW w:w="412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GOVERNMENT REGULATION</w:t>
            </w:r>
          </w:p>
        </w:tc>
        <w:tc>
          <w:tcPr>
            <w:tcW w:w="3660" w:type="dxa"/>
            <w:vAlign w:val="bottom"/>
            <w:tcBorders>
              <w:top w:val="single" w:sz="8" w:color="CCEEFF"/>
            </w:tcBorders>
            <w:gridSpan w:val="3"/>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MANUFACTURING AND SUPPLY</w:t>
            </w:r>
          </w:p>
        </w:tc>
        <w:tc>
          <w:tcPr>
            <w:tcW w:w="5080" w:type="dxa"/>
            <w:vAlign w:val="bottom"/>
            <w:tcBorders>
              <w:bottom w:val="single" w:sz="8" w:color="CCEEFF"/>
            </w:tcBorders>
            <w:gridSpan w:val="12"/>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SALES AND MARKETING</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PRODUCT LIABILITY AND INSURANCE</w:t>
            </w:r>
          </w:p>
        </w:tc>
        <w:tc>
          <w:tcPr>
            <w:tcW w:w="4500" w:type="dxa"/>
            <w:vAlign w:val="bottom"/>
            <w:tcBorders>
              <w:bottom w:val="single" w:sz="8" w:color="CCEEFF"/>
            </w:tcBorders>
            <w:gridSpan w:val="6"/>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COMPETITION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IMNN-001</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ThermoDox ®</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778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INTELLECTUAL PROPERTY</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778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Patents and Proprietary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EMPLOYEES</w:t>
            </w:r>
          </w:p>
        </w:tc>
        <w:tc>
          <w:tcPr>
            <w:tcW w:w="6720" w:type="dxa"/>
            <w:vAlign w:val="bottom"/>
            <w:tcBorders>
              <w:bottom w:val="single" w:sz="8" w:color="CCEEFF"/>
            </w:tcBorders>
            <w:gridSpan w:val="2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920" w:type="dxa"/>
            <w:vAlign w:val="bottom"/>
          </w:tcPr>
          <w:p>
            <w:pPr>
              <w:spacing w:after="0"/>
              <w:rPr>
                <w:sz w:val="15"/>
                <w:szCs w:val="15"/>
                <w:color w:val="auto"/>
              </w:rPr>
            </w:pP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COMPANY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5520" w:type="dxa"/>
            <w:vAlign w:val="bottom"/>
            <w:tcBorders>
              <w:bottom w:val="single" w:sz="8" w:color="CCEEFF"/>
            </w:tcBorders>
            <w:gridSpan w:val="16"/>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4960" w:type="dxa"/>
            <w:vAlign w:val="bottom"/>
            <w:tcBorders>
              <w:bottom w:val="single" w:sz="8" w:color="CCEEFF"/>
            </w:tcBorders>
            <w:gridSpan w:val="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7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78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4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340" w:type="dxa"/>
            <w:vAlign w:val="bottom"/>
            <w:gridSpan w:val="13"/>
          </w:tcPr>
          <w:p>
            <w:pPr>
              <w:spacing w:after="0"/>
              <w:rPr>
                <w:sz w:val="15"/>
                <w:szCs w:val="15"/>
                <w:color w:val="auto"/>
              </w:rPr>
            </w:pP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20" w:type="dxa"/>
            <w:vAlign w:val="bottom"/>
            <w:gridSpan w:val="11"/>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20" w:type="dxa"/>
            <w:vAlign w:val="bottom"/>
            <w:gridSpan w:val="11"/>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8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gridSpan w:val="14"/>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TABLE OF CONTENTS (continued)</w:t>
            </w:r>
          </w:p>
        </w:tc>
        <w:tc>
          <w:tcPr>
            <w:tcW w:w="6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 PURCHASES</w:t>
            </w: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96"/>
        </w:trPr>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68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Market for Our Common Stock</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Record Holders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4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SELECTED FINANCIAL DATA</w:t>
            </w:r>
          </w:p>
        </w:tc>
        <w:tc>
          <w:tcPr>
            <w:tcW w:w="7220" w:type="dxa"/>
            <w:vAlign w:val="bottom"/>
            <w:tcBorders>
              <w:bottom w:val="single" w:sz="8" w:color="CCEEFF"/>
            </w:tcBorders>
            <w:gridSpan w:val="2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Overview</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Business Plan</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Financing Overview</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Critical Accounting Policies and Estimates</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Results of Operations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33"/>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Condition, Liquidity and Capital Resources</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40" w:type="dxa"/>
            <w:vAlign w:val="bottom"/>
            <w:gridSpan w:val="3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Off-Balance Sheet Arrangements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40" w:type="dxa"/>
            <w:vAlign w:val="bottom"/>
            <w:tcBorders>
              <w:bottom w:val="single" w:sz="8" w:color="CCEEFF"/>
            </w:tcBorders>
            <w:gridSpan w:val="1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6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57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3860" w:type="dxa"/>
            <w:vAlign w:val="bottom"/>
            <w:tcBorders>
              <w:top w:val="single" w:sz="8" w:color="CCEEFF"/>
            </w:tcBorders>
            <w:gridSpan w:val="8"/>
          </w:tcPr>
          <w:p>
            <w:pPr>
              <w:spacing w:after="0"/>
              <w:rPr>
                <w:sz w:val="15"/>
                <w:szCs w:val="15"/>
                <w:color w:val="auto"/>
              </w:rPr>
            </w:pPr>
          </w:p>
        </w:tc>
        <w:tc>
          <w:tcPr>
            <w:tcW w:w="68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80" w:type="dxa"/>
            <w:vAlign w:val="bottom"/>
            <w:shd w:val="clear" w:color="auto" w:fill="CCEEFF"/>
          </w:tcPr>
          <w:p>
            <w:pPr>
              <w:spacing w:after="0"/>
              <w:rPr>
                <w:sz w:val="15"/>
                <w:szCs w:val="15"/>
                <w:color w:val="auto"/>
              </w:rPr>
            </w:pPr>
          </w:p>
        </w:tc>
      </w:tr>
      <w:tr>
        <w:trPr>
          <w:trHeight w:val="216"/>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MATTERS</w:t>
            </w:r>
          </w:p>
        </w:tc>
        <w:tc>
          <w:tcPr>
            <w:tcW w:w="8540" w:type="dxa"/>
            <w:vAlign w:val="bottom"/>
            <w:tcBorders>
              <w:top w:val="single" w:sz="8" w:color="0000EE"/>
              <w:bottom w:val="single" w:sz="8" w:color="CCEEFF"/>
            </w:tcBorders>
            <w:gridSpan w:val="30"/>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176"/>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42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1. FINANCIAL STATEMENTS</w:t>
            </w:r>
          </w:p>
        </w:tc>
        <w:tc>
          <w:tcPr>
            <w:tcW w:w="5220" w:type="dxa"/>
            <w:vAlign w:val="bottom"/>
            <w:tcBorders>
              <w:top w:val="single" w:sz="8" w:color="CCEEFF"/>
            </w:tcBorders>
            <w:gridSpan w:val="10"/>
          </w:tcPr>
          <w:p>
            <w:pPr>
              <w:spacing w:after="0"/>
              <w:rPr>
                <w:sz w:val="15"/>
                <w:szCs w:val="15"/>
                <w:color w:val="auto"/>
              </w:rPr>
            </w:pPr>
          </w:p>
        </w:tc>
        <w:tc>
          <w:tcPr>
            <w:tcW w:w="68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 FINANCIAL STATEMENT SCHEDULES</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175"/>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30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3. EXHIBITS</w:t>
            </w:r>
          </w:p>
        </w:tc>
        <w:tc>
          <w:tcPr>
            <w:tcW w:w="6340" w:type="dxa"/>
            <w:vAlign w:val="bottom"/>
            <w:tcBorders>
              <w:top w:val="single" w:sz="8" w:color="CCEEFF"/>
            </w:tcBorders>
            <w:gridSpan w:val="13"/>
          </w:tcPr>
          <w:p>
            <w:pPr>
              <w:spacing w:after="0"/>
              <w:rPr>
                <w:sz w:val="15"/>
                <w:szCs w:val="15"/>
                <w:color w:val="auto"/>
              </w:rPr>
            </w:pPr>
          </w:p>
        </w:tc>
        <w:tc>
          <w:tcPr>
            <w:tcW w:w="68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of the statements contained in this Annual Report on Form 10-K (this “Annual Report”) are forward-looking and constitute forward-looking statements within the meaning of Section 27A of the Securities Act of 1933, as amended (the “Securities Act”), and Section 21E of the Securities Exchange Act of 1934, as amended (the “Exchange Act”). Forward-looking statements may relate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drug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drug candidates and our ability to operate our business without infringing the intellectual property rights of others; our reliance on third parties to conduct preclinical studies or clinical trials; the rate and degree of market acceptance of any approved drug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“Imunon”, “the Company”, “we”, “us”, or “our” are to Imunon, Inc., a Delaware corporation and its wholly owned subsidiaries, CLSN Laboratories, Inc., also a Delaware corporation and Celsion GmbH, a Swiss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Imunon brand and product names, including but not limited to Imunon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contained in this document are trademarks, registered trademarks or service marks of Imunon, Inc. or its subsidiary in the United States (the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new ticker symbol “IMNN” effective as of the opening of trading on September 21, 2022. The Company filed an amendment to its Articles of Incorporation to effect the new corporate name.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Our TheraPlas® platform for the development of immunotherapies and other anti-cancer nucleic acid-based therapies, and our PLACCINE platform for the development of nucleic acid vaccines for infectious diseases and cancer. The Company’s lead clinical program, IMNN-001 (formerly known as GEN-1),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We will continue to leverage these platforms and to advance the technological frontier of plasmid DNA to better serve patients with difficult to treat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Inc., a privately held corporation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IMNN-001.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a small amount escaping into the systemic circulation. PPC is the delivery component of our lead TheraPlas product, IMNN-001, which is in clinical development for the treatment of ovarian cancer. The PPC manufacturing process has been scaled up from bench scale (1-2 g) to 0.6Kg, and several lots produced using current Good Manufacturing Practice (“cGMP”) have been produced with reproducible quality.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Imunon in a position to capitalize on this technology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percent and 17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(formerly 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IMNN-001 in combination with the standard of care in neoadjuvant ovarian cancer (the “OVATION I Study”). On September 30, 2015, we announced enrollment of the first patient in the OVATION I Study. The OVATION I Study was designed to:</w:t>
      </w:r>
    </w:p>
    <w:p>
      <w:pPr>
        <w:spacing w:after="0" w:line="175" w:lineRule="exact"/>
        <w:rPr>
          <w:sz w:val="20"/>
          <w:szCs w:val="20"/>
          <w:color w:val="auto"/>
        </w:rPr>
      </w:pPr>
    </w:p>
    <w:p>
      <w:pPr>
        <w:ind w:left="5580" w:right="1780" w:hanging="5248"/>
        <w:spacing w:after="0" w:line="563"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IMNN-001 by recruiting and maximizing an immune response;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fourteen patients who completed treatment in the OVATION I Study. IMNN-001 plus standard chemotherapy produced no dose 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IMNN-001 in newly diagnosed, advanced ovarian cancer patients by the FDA. In its March 2019 discussion with the Company, the FDA noted that preliminary findings from the Phase Ib OVATION I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IMNN-001 cycles. Under the current standard of care, in women with Stage III/IV ovarian cancer undergoing NAC, their disease progresses within about 12 months on average. The results from the OVATION I Study support continued evaluation of IMNN-001 based on promising tumor response, as reported in the PFS data, and the ability for surgeons to completely remove visible tumors at interval debulking surgery. IMNN-001 was well tolerated, and no dose-limiting toxicities were detected. Intraperitoneal administration of IMNN-001 was feasible with broad patient acceptance.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to determine the next steps forward for our IMNN-001 immunotherapy program. On November 13, 2017, the Company filed its Phase I/II clinical trial protocol with the FDA for IMNN-001 for the localized treatment of ovarian cancer. The protocol is designed with a single dose escalation phase to 100 mg/m² to identify a safe and tolerable dose of IMNN-001 while maximizing an immune response. The Phase I portion of the study will be followed by a continuation at the selected dose in approximately 110 patients randomized Phase II study.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will receive IMNN-001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IMNN-001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IMNN-001,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fifteen patients treated in the Phase I portion of the OVATION 2 Study, nine patients were treated with IMNN-001 at a dose of 100 mg/m² plus NACT and six patients were treated with NACT only. All fifteen patients had successful resections of their tumors, with eight out of nine patients (88%) in the IMNN-001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8700" w:hanging="190"/>
        <w:spacing w:after="0"/>
        <w:tabs>
          <w:tab w:leader="none" w:pos="8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156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R0 Resections</w:t>
            </w:r>
          </w:p>
        </w:tc>
        <w:tc>
          <w:tcPr>
            <w:tcW w:w="160" w:type="dxa"/>
            <w:vAlign w:val="bottom"/>
            <w:tcBorders>
              <w:bottom w:val="single" w:sz="8" w:color="CCEEFF"/>
            </w:tcBorders>
          </w:tcPr>
          <w:p>
            <w:pPr>
              <w:spacing w:after="0"/>
              <w:rPr>
                <w:sz w:val="19"/>
                <w:szCs w:val="19"/>
                <w:color w:val="auto"/>
              </w:rPr>
            </w:pPr>
          </w:p>
        </w:tc>
      </w:tr>
      <w:tr>
        <w:trPr>
          <w:trHeight w:val="216"/>
        </w:trPr>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0, 36,</w:t>
            </w: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 mg/m² of IMNN-001 plus NACT</w:t>
            </w:r>
          </w:p>
        </w:tc>
        <w:tc>
          <w:tcPr>
            <w:tcW w:w="1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 =12</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61, 79,</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mg/m² of IMNN-001 plus NACT</w:t>
            </w:r>
          </w:p>
        </w:tc>
        <w:tc>
          <w:tcPr>
            <w:tcW w:w="1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 = 17</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IMNN-001 patients were comparable, as expected, to the higher (61, 79, 100 mg/m²) dose IMNN-001 patients, with both groups demonstrating an approximate 80% ORR.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IMNN-001 be designated as an orphan medicinal product for the treatment of ovarian cancer. IMNN-001 is an IL-12 DNA plasmid vector encased in a non-viral nanoparticle delivery system, which enables cell transfection followed by persistent, local secretion of the IL-12 protein. IMNN-001 previously received orphan designation from the FDA.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IMNN-001,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 which indicates a microscopically margin-negative complete resection in which no gross or microscopic tumor remains in the tumor bed.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IMNN-001 patients compared with control arm patients and is consistent with the reported improvement in resection scores noted in the encouraging Phase I OVATION I Study, the manuscript of which has been submitted for peer review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6"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IMNN-001 during a course of treatment that lasts up to six months. No dose-limiting toxicities were reported. Interim clinical data from patients who have undergone interval debulking surgery showed that the IMNN-001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has completed enrollment with 110 patients. Topline results are expected in the first half of 2024.</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Avastin. </w:t>
      </w:r>
      <w:r>
        <w:rPr>
          <w:rFonts w:ascii="Times New Roman" w:cs="Times New Roman" w:eastAsia="Times New Roman" w:hAnsi="Times New Roman"/>
          <w:sz w:val="18"/>
          <w:szCs w:val="18"/>
          <w:color w:val="auto"/>
        </w:rPr>
        <w:t>In February 2023, the Company and Break Through 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 the commencement of patient enrollment in a collaboration to evaluate IMNN-001 in combination with Avastin®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1/2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will be randomized 1:1 in a two-arm trial. The primary endpoint is second look laparoscopy (SLL) and the secondary endpoint is progression-free survival (PFS). Initial SLL data are expected within one year from the completion of enrollment and final PFS data are expected approximately three years from the completion of enrollment.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pursue certain pathogens BARDA has identified as the most urgent and the most important.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Imunon’s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Imunon’s DNA-based approach for a SARS-CoV-2 vaccine. The NHP pilot study follows the generation of encouraging mouse data and will evaluate the Company’s lead vaccine formulations for safety, immunogenicity and protection against SARS-CoV-2. In completed preclinical studies, Imunon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novel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 The murine model data has thus far been encouraging and suggests that the Company’s approach provides not only flexibility, but also the potential for efficacy comparable to benchmark COVID-19 commercial vaccines with durability to protect expected to be greater than 6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non-human primate study involving three vaccine-treated non-human primates. The final data are consistent with the earlier data and show excellent immunological response and viral clearance in non-human primates. More specifically, in this NHP study, we examined PLACCINE activity against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has now completed 9 months demonstrating continued drug stability at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(standard refrigerated temperature).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intends to choose the next pathogen target for our PLACCINE modality and plans to hold a pre-Investigational New Drug (pre-IND) meeting with the U.S. Food and Drug Administration in advance of beginning human testing of a SARS-CoV-2 seasonal booster vaccine. Of note, the design of that trial will also inform the path for the next pathogen we will study, perhaps in early 2024. Incremental investments to generate novel vaccine designs with optimized antigens will allow Imunon to quickly generate early clinical data against additional pathogen targets that position the company to partner with large vaccine companies who will fund remaining clinical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 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provided uncertainty, subsequently, the DMC left the final decision of whether or not to stop the OPTIMA Study to the Company. There were no safety concerns noted during the interim analysis. The Company followed the advice of the DMC and considered its options either to stop the study or continue to follow patients after a thorough review of the data, and an evaluation of our probability of success.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 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 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has been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working closely and supporting investigations by others to evaluate the use of ThermoDox for the treatment of various cancers. Following inquiries from the NIH, we renewed our Cooperative Research and Development Agreement (“CRADA”) with the Institute at a nominal cost,</w:t>
      </w:r>
    </w:p>
    <w:p>
      <w:pPr>
        <w:jc w:val="both"/>
        <w:spacing w:after="0" w:line="221" w:lineRule="auto"/>
        <w:rPr>
          <w:sz w:val="20"/>
          <w:szCs w:val="20"/>
          <w:color w:val="auto"/>
        </w:rPr>
      </w:pPr>
      <w:r>
        <w:rPr>
          <w:rFonts w:ascii="Times New Roman" w:cs="Times New Roman" w:eastAsia="Times New Roman" w:hAnsi="Times New Roman"/>
          <w:sz w:val="18"/>
          <w:szCs w:val="18"/>
          <w:color w:val="auto"/>
        </w:rPr>
        <w:t>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the Company is developing a business model to support these investigator-sponsored studies in a manner that will not interfere with its current focus on our IMNN-001 program and vaccine development initiative.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BUSINESS STRATEGY AND DEVELOPMENT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results such as those announced in relation to the OPTIMA Study in February 2021 will have a more significant impact on our financial prospects, financial condition, and market value. We may also consider and evaluate strategic alternatives, including investment in, or acquisition of, complementary businesses, technologies, or products. As demonstrated by the OPTIMA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$32.9 million in cash and cash equivalents, short-term investments, and interest receivable to fund its operations. The Company also had $6.0 million in restricted cash to fund its financing activity. This is coupled with $1.6 million of receivable from sale of the Company’s State of New Jersey net operating losses. The Company believes it has sufficient capital resources to fund its operations into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Times New Roman" w:cs="Times New Roman" w:eastAsia="Times New Roman" w:hAnsi="Times New Roman"/>
          <w:sz w:val="18"/>
          <w:szCs w:val="18"/>
          <w:b w:val="1"/>
          <w:bCs w:val="1"/>
          <w:color w:val="auto"/>
        </w:rPr>
        <w:t>Part II, Item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of this Annual Report for additional information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financial condition, liquidity and capital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engaged in a limited amount of research and development in our own facilities and have sponsored research programs in partnership with various research institutions, including the NIH, the Wistar Institute and Acuitas Therapeutics. We are currently, with minimal cash expenditures, sponsoring clinical and pre-clinical research at the University of Utrecht and the Children’s Hospital Research Institute. The majority of the spending in research and development is for the funding of IMNN-001 clinical trials and our next generation vaccine initiative. Research and development expenses were approximately $11.7 million and $10.6 million for the years ended December 31, 2022 and 2021, respectively. See </w:t>
      </w:r>
      <w:r>
        <w:rPr>
          <w:rFonts w:ascii="Times New Roman" w:cs="Times New Roman" w:eastAsia="Times New Roman" w:hAnsi="Times New Roman"/>
          <w:sz w:val="18"/>
          <w:szCs w:val="18"/>
          <w:b w:val="1"/>
          <w:bCs w:val="1"/>
          <w:color w:val="auto"/>
        </w:rPr>
        <w:t>Part II, Item 7 -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Discussion and Analysis of Financial Condition and Results of Operations </w:t>
      </w:r>
      <w:r>
        <w:rPr>
          <w:rFonts w:ascii="Times New Roman" w:cs="Times New Roman" w:eastAsia="Times New Roman" w:hAnsi="Times New Roman"/>
          <w:sz w:val="18"/>
          <w:szCs w:val="18"/>
          <w:color w:val="auto"/>
        </w:rPr>
        <w:t>of this Annual Report for additional information regarding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our research and development programs.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vehicle by which FDA approves a new pharmaceutical product or a biologic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cGMP and to assure adequate identity, strength, quality, purity, and potency; and (e) FDA review and approval of the NDA/BLA.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drug candidate otherwise will come to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limited circumstances when a patient has a serious or immediately life-threatening disease or condition and certain other conditions apply, a therapeutic drug candidate being studied in clinical trials may be made available for treatment of individual patients. Pursuant to the 21st Century Cures Act, the manufacturer of an investigational product for a serious or immediately life-threatening disease or condition is required to make available, such as by posting on its website, its policy on evaluating and responding to requests for individual patient access to such investigational product.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be completed successfully within any specified time period or at all. We may suspend clinical trials at any time, or The FDA or IRB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drug candidates will be successful.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drug candidate is being manufactured in accordance with cGMP. The testing, submission, and approval process requires substantial time, effort, and financial resources, including substantial application user fees and annual product and establishment user fees. There can be no assurance that any approval will be granted for any product at any time, according to any schedule, or at all. The FDA may refuse to accept or approve an application if it determines those applicable regulatory criteria are not satisfied. The FDA may also require additional testing for safety and efficacy. Even, if regulatory approval is granted, the approval will be limited to specific indications. There can be no assurance that any of our current drug candidates will receive regulatory approvals for marketing or, if approved, that approval will be for any or all of the indications that we request.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reviews are applied to a drug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under Section 505(b)(2), the FDA may rely, for approval of an NDA, on data not developed by the applicant. The FDA may also require companies to perform additional studies or measurements, including clinical trials, to support the change from the approved branded reference drug.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FDA Regulations Specific to Gene-Based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gene-based products as biological products. Biological products intended for therapeutic use may be regulated by either the Center for Biologics Evaluation &amp; Research (“CBER”) or the Center for Drug Evaluation &amp; Research (“CDER”). Gene-based products are subject to extensive regulation under the FDCA, the PHSA, and their implementing regulations. Each clinical trial of investigational gene therapies must be reviewed and approved by the Institutional Biosafety Committee (“IBC”) for each clinical site if they receive any funding whatsoever from the National Institutes of Health (“NIH”). IBCs were established under NIH Guidelines for Research Involving Recombinant or Synthetic Nucleic Acid Molecules (“NIH Guidelines”) to provide local review and oversight of nearly all forms of research utilizing recombinant or synthetic nucleic acid molecules. The IBC assesses biosafety issues, specifically, safety practices and containment procedures, related to the investigational product and clinical study. Compliance with the NIH Guidelines is mandatory for investigators at institutions receiving NIH funds for research involving recombinant DNA, however many companies and other institutions not otherwise subject to the NIH Guidelines voluntarily follow them. Such trials remain subject to FDA and other clinical trial regulations, and only after FDA, IBC, and other relevant approvals are in place can these protocols proceed.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Biological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which are intended to expedite or simplify the process for reviewing drug candidates, or provide for the approval of a drug candidate on the basis of a surrogate endpoint. In January 2021, the FDA granted Fast Track designation for IMNN-001 for the treatment of ovarian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drug candidate qualifies for one or more of these programs, the FDA may later decide that the drug candidate no longer meets the conditions for qualification or that the time period for FDA review or approval will be lengthened. Generally, drug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drug candidates to treat serious or life-threatening diseases or conditions and fill unmet medical needs.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Although Fast Track and priority review do not affect the standards for approval, the FDA will attempt to facilitate early and frequent meetings with a sponsor of a Fast Track designated drug candidate and expedite review of the application for a drug candidate designated for priority review. Accelerated approval provides for an earlier approval for a new drug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drug candidate receiving accelerated approval perform post-marketing clinical trials to verify and describe the predicted effect on irreversible morbidity or mortality or other clinical endpoint, and the drug may be subject to accelerated withdrawal procedures.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sponsor may seek FDA designation of a drug candidate as a “breakthrough therapy” if the drug candidate is intended, alone or in combination with one or more other therapeutics, to treat a serious or life-threatening disease or condition, and preliminary clinical evidence indicates that the drug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II. Drugs designated as breakthrough therapies are also eligible for accelerated approval and receive the same benefits as drugs with Fast Track designation. The FDA must take certain actions, such as holding timely meetings and providing advice, intended to expedite the development and review of an application for approval of a breakthrough therapy. Fast Track and breakthrough therapy designations may also be rescinded if the drug candidate does not continue to meet the designation criteria. Fast Track designation, priority review, accelerated approval, and breakthrough therapy designation do not change the standards for approval but may expedite the development or approval process.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2005, the FDA granted orphan drug designation for IMNN-001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FDCA provides a five-year period of non-patent data exclusivity within the U.S. to the first applicant to gain approval of an NDA for a new chemical entity. During the exclusivity period, the FDA generally may not accept for review an abbreviated new drug application (ANDA) or a 505(b)(2) NDA submitted by another company that references the previously approved drug, except that such applications may be submitted after four years if they contain a certification of patent invalidity or non-infringement.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created an abbreviated approval pathway for biological drug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drug candidate and the reference product in terms of safety, purity, and potency. Biosimilarity must be shown through analytical trials, animal trials, and a clinical trial or trials, unless the Secretary of Health and Human Services waives a required element. A biosimilar drug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drug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drug candidate and the manufacturer must develop methods for testing the quality, purity and potency of the drug candidate. Additionally, appropriate packaging must be selected and tested, and stability studies must be conducted to demonstrate that the drug candidate does not undergo unacceptable deterioration over its proposed shelf-life.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Clinical Studies to Support an IND, NDA, or BLA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 Further, with the COVID-19 pandemic, it is possible that Congress and FDA may implement new laws, regulations, or policies that may impact our ability to continue development programs as planned.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drug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regulations prohibit the promotion of an investigational product for an unapproved use. The FDA distinguishes impermissible promotion of an investigational product from the permissible exchange of scientific and medical information among healthcare professionals, which may include company-sponsored scientific and educational activities. The FDA has issued Warning Letters and untitled letters to sponsors and clinical investigators who have claimed, directly or indirectly, that an investigational product is safe and effective for its intended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 candidates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87" w:lineRule="exact"/>
        <w:rPr>
          <w:sz w:val="20"/>
          <w:szCs w:val="20"/>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191" w:lineRule="exact"/>
        <w:rPr>
          <w:rFonts w:ascii="Times New Roman" w:cs="Times New Roman" w:eastAsia="Times New Roman" w:hAnsi="Times New Roman"/>
          <w:sz w:val="18"/>
          <w:szCs w:val="18"/>
          <w:color w:val="auto"/>
        </w:rPr>
      </w:pPr>
    </w:p>
    <w:p>
      <w:pPr>
        <w:jc w:val="both"/>
        <w:ind w:left="340" w:hanging="287"/>
        <w:spacing w:after="0" w:line="254" w:lineRule="auto"/>
        <w:tabs>
          <w:tab w:leader="none" w:pos="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(“ACA”),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are often not pre-empted, and may have a more prohibitive effect than the Sunshine Act, thus further complicating compliance efforts. Effective January 1, 2022, these reporting obligations extend to include transfers of value made in the previous year to certain non-physician providers such as physician assistants and nurse practitioners.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including requiring significant capital allocations, and can divert a company’s attention from its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 collection and use of personal data is increasingly subject to various federal and state privacy and data security laws and regulations, including oversight by various regulatory and other governmental bodies. Those laws and regulations continue to evolve and are increasingly being enforced vigorously by both governmental and private causes of action. For example, following the enactment of the California Consumer Privacy Act of 2018 (the “CCPA”), which was subsequently amended by the Consumer Privacy Rights Act of 2020, other states have established a broad range of privacy obligations for businesses, including robust notice and the right to opt-out from the selling or sharing of personal information, access, correction, portability, deletion, and related obligations. While many of these statutes specifically exempt protected health information that is subject to HIPAA and clinical trial regulations, these statutes have marked the beginning of a trend towards a more stringent state privacy legislative regime in the U.S., which could increase our potential liability and adversely affect our business both from a financial and reputational perspective.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drug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drug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340B drug pricing is determined based on AMP and Medicaid rebate data, the revisions to the Medicaid rebate formula and AMP definition described above could cause the required 340B discount to increase. Changes to these current laws and state and federal healthcare reform measures that may be adopted in the future may result in additional reductions in Medicare and other healthcare funding and otherwise affect the prices we may obtain for any drug candidates for which we may obtain regulatory approval or the frequency with which any such drug candidate is prescribed or used.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drug candidates for which we may obtain regulatory approval or the frequency with which any such drug candidate is prescribed or 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Current and future healthcare reform legislation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 March 2010, the U.S. Congress enacted the ACA, which, among other things, includes changes to the coverage and payment for products under government health care programs. The ACA includes provisions of importance to our potential drug candidates that:</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1" w:lineRule="exact"/>
        <w:rPr>
          <w:rFonts w:ascii="Times New Roman" w:cs="Times New Roman" w:eastAsia="Times New Roman" w:hAnsi="Times New Roman"/>
          <w:sz w:val="18"/>
          <w:szCs w:val="18"/>
          <w:color w:val="auto"/>
        </w:rPr>
      </w:pPr>
    </w:p>
    <w:p>
      <w:pPr>
        <w:jc w:val="both"/>
        <w:ind w:left="340" w:hanging="287"/>
        <w:spacing w:after="0" w:line="266"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provisions of the ACA. Other legislative changes have been proposed and adopted in the U.S. since the ACA was enacted.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2020, HHS Office of the Inspector General finalized a regulation with the goal of lowering prescription drug prices and out-of-pocket spending for prescription drugs. Specifically, the final rule clarifies and amends the discount safe harbor under the federal Anti-Kickback Statute with the effect that rebates paid from drug manufacturers to Medicare Part D prescription drug plan sponsors, or their pharmacy benefit managers (“PBMs”) are excluded from liability protection under the discount safe harbor. The rule also adds a new safe harbor for point-of-sale reductions in price and another that protects certain fixed-fee service arrangements between PBMs and drug manufacturers.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Coronavirus Aid, Relief, and Economic Security Act, also known as the CARES Act, and the 2020 Omnibus Bill, and later regulatory actions, the reductions required by the Budget Control Act of 2011 are suspended from May 1, 2020, through March 31, 2022, due to the COVID-19 pandemic. Further, it is possible that the government will take additional steps to address the COVID-19 pandemic. For example, on April 18, 2020, CMS announced that qualified health plan issuers under the ACA may suspend activities related to the collection and reporting of quality data that would have otherwise been reported between May and June 2020 because of the challenges healthcare providers are facing responding to the COVID-19 virus.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Outside of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of other countries governing, among other things, any clinical trials and commercial sales and distribution of our drug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GCP and Good Manufacturing Practice (“GMP”) rules, ICH guidelines and be consistent with ethical principles. The new EU Clinical Trial Regulation (Regulation 536/2014) came into application on January 31, 2022, seeks to harmonize the submission, assessment, and supervision processes for clinical trials in the EU and will impact the way clinical trials are conducted in the EU.</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(the “CHMP”), a committee within the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 the requirements for pricing, coverage and reimbursement of any drug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orphan designations for our drug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preclinical, clinical or commercial quantities of any of our drug candidates. We currently contract with third party contract manufacturing organizations (“CMOs”) for our preclinical and clinical trial supplies, and we expect to continue to do so to meet the preclinical and any clinical requirements of our drug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Medical product manufacturers and other entities involved in the manufacture and distribution of approved drug or biologic products are required to register their establishments with the FDA and certain state agencies and are subject to periodic unannounced inspections by the FDA and certain state agencies for compliance with cGMP and other laws. cGMP is a regulatory standard for the production of pharmaceuticals that will be used in humans which is recognized by FDA and many foreign regulatory authorities. Accordingly, manufacturers must continue to expend time, money, and effort in the area of production and quality control to maintain GMP compliance. We use CMOs which manufacture our drug candidates under cGMP conditions.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The FDA has the authority to take a variety of actions to address violations, including suspending the review of a pending application; refusing to approve or withdrawing approval of a marketing application; placing a study on clinical hold; issuing warning or untitled letters; ordering a product recall; seizing product in distribution; seeking an injunction to stop manufacture and distribution of a product; seeking restitution, disgorgement of profits, and fines; and debarring a company and its executives individually from participation in any capacity in the drug approval process. The U.S. Department of Justice has the authority to criminally prosecute companies and company executives for violations of the FD&amp;C Act and the PHS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focus is on the development of our existing portfolio, the completion of clinical trials and, if and where appropriate, the registration of our drug candidates. We currently do not have marketing, sales and distribution capabilities. If we receive marketing and commercialization approval for any of our drug candidates, we intend to market the product either directly or through strategic alliances and distribution agreements with third parties. The ultimate implementation of our strategy for realizing the financial value of our drug candidates is dependent on the results of clinical trials for our drug candidates, the availability of regulatory approvals and the ability to negotiate acceptable commercial terms with third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drug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IMNN-001 Immunotherapy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Studied indications for IMNN-001 currently include stage III/IV ovarian cancer. In evaluating the competitive landscape for this indication, early-stage indications are treated with chemotherapy (docetaxel, doxil and cisplatinum for ovarian cancer), while later stage ovarian cancer is treated with Bevacizumab - Avastin®, an anti-angiogenesis inhibitor. Avastin® is currently also being evaluated for early-stage disease.</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IMNN-001 is being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and will continue to encounter competition with an array of existing or development-stage drug approaches targeting diseases we are pursuing. We are aware of various established enterprises, including major pharmaceutical companies, broadly engaged in vaccine/immunotherapy research and development. These include Janssen Pharmaceuticals (part of J&amp;J), Sanofi-Aventis, GlaxoSmithKline plc, Merck, Pfizer, and AstraZeneca. There are also various development-stage biotechnology companies involved in different vaccine and immunotherapy technologies including but not limited to Advaxis, Bavarian Nordic, CureVac, Dynavax, Hookipa, Iovance, Nektar, Translate Bio, Zydus, and Vir Biotechnology. If these companies are successful in developing their technologies, it could materially and adversely affect our business and our future growth prospects.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large number of companies are actively advancing COVID-19 vaccines through the clinic. Pfizer and BioNtech, Moderna Therapeutics, Janssen (J&amp;J), Novavax, Zydus, and AstraZeneca have received conditional or complete approval for their COVID-19 vaccines from either the U.S., WHO, or European regulatory authorities. Additionally, several companies are currently developing vaccine candidates in Phase 2 or Phase 3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compete more specifically with companies seeking to utilize antigen-encoding DNA delivered with electroporation or other DNA delivery technologies such as viral vectors or lipid vectors to induce in vivo generated antigen production and immune responses to prevent or treat various diseases. These competitive technologies have shown promise, but they each also have their unique obstacles to overcome.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competitors develop products with efficacy or safety profiles significantly better than our drug candidates, we may not be able to commercialize our products, and sales of any of our commercialized products could be harmed. Some of our competitors and potential competitors have substantially greater product development capabilities and financial, scientific, marketing and human resources than we do. Competitors may develop products earlier, obtain FDA approvals for products more rapidly, or develop products that are more effective than those under development by us. We will seek to expand our technological capabilities to remain competitive; however, research and development by others may render our technologies or products obsolete or noncompetitive or result in treatments or cures superior to ours.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competitive position will be affected by the disease indications addressed by our drug candidates and those of our competitors, the timing of market introduction for these products and the stage of development of other technologies to address these disease indications. For us and our competitors, proprietary technologies, the ability to complete clinical trials on a timely basis and with the desired results, and the ability to obtain timely regulatory approvals to market these drug candidates are likely to be significant competitive factors. Other important competitive factors will include efficacy, safety, ease of use, reliability, availability and price of products and the ability to fund operations during the period between technological conception and commercial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and other regulatory agencies may expand current requirements for public disclosure of DNA-based product development data, which may harm our competitive position with foreign and United States companies developing DNA-based products for similar indications.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ThermoDox</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are many drugs and devices marketed and under development for the treatment of cancer, the Company is not aware of any other heat activated drug delivery product either being marketed or in human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ThermoDox® technology, we either exclusively license with Duke University for its temperature-sensitive liposome technology that covers the ThermoDox® formulation or own U.S. and international patents with claims and methods and compositions of matters that cover various aspects of lysolipid thermally sensitive liposomes technology, with expiration dates ranging from 2018 to 2026. Imunon also has issued patents which pertain specifically to methods of storing stabilized, temperature-sensitive liposomal formulations and will assist in the protection of global rights. These patents will extend the overall term of the ThermoDox® patent portfolio to 2026. The patents in this family, include a pending application in the U.S. issued patents in Europe and additional key commercial geographies in Asia. This extended patent runway to 2026 allows for the evaluation of future development activities for ThermoDox® and Imunon’s heat-sensitive liposome technology platform.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TheraPlas technology, we own three U.S. and international patents and related applications with claims and methods and compositions of matters that cover various aspects of TheraPlas and IMNN-001 technologies, with expiration dates ranging from 2025 to 2028.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FDA granted orphan drug designation to IMNN-001 for the treatment of ovarian cancer and to ThermoDox®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“Our business depends on license agreements with third parties to permit us to use patented technologies. The loss of any of our rights under these agreements could impair our ability to develop and market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2023, we employed 31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new ticker symbol “IMNN” effective as of the opening of trading on September 21, 2022. The Company filed an amendment to its Articles of Incorporation to effect the new corporate name.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founded in 1982 and is a Delaware corporation. Our principal executive offices are located at 997 Lenox Drive, Suite 100, Lawrenceville, NJ 08648. Our telephone number is (609) 896-9100. The Company’s website is www.Imunon.com. The information contained in, or that can be accessed through, our website is not part of, and is not incorporated in,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www.Imunon.com,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and should not be relied upon.</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some of the Company’s most important risks and uncertainties that could materially adversely affect our business, financial condition, and results of operations. You should read this summary together with the more detailed description of each risk factor. Additional discussion of the risks summarized in this Risk Factors Summary, and other risks that we face, can be found below under the heading “Risk Factors” and should be carefully considered, together with other information in this Form 10-K and our other filings with the SEC, before making an investment in our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Related to Our Business and Operations</w:t>
      </w:r>
    </w:p>
    <w:p>
      <w:pPr>
        <w:spacing w:after="0" w:line="225"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losses from operations and expect to continue to incur significant losses for the foreseeable future and we may never achieve or maintain profitability.</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drug candidates.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duration and severity of the novel coronavirus disease, COVID-19, pandemic, or other similar health crises could adversely impact our business, including our preclinical studies and clinical trials.</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rely on third party manufacturing and supply partners, our supply of research and development, preclinical and clinical development materials may become limited or interrupted or may not be of satisfactory quantity or quality.</w:t>
      </w: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Orphan Drug Designation for GEN-1 ThermoDox® and may seek Orphan Drug Designation for other drug candidates, but we may be unsuccessful or may be unable to maintain the benefits associated with Orphan Drug Designation, including the potential for market exclusivity.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designation may not actually lead to a faster development or regulatory review or approval process.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reputational harm and diminished profits and future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legislative and regulatory changes affecting the healthcare industry could have a material adverse effect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evolving European and other privacy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drug candidates may be harmed if the government, private health insurers and other third-party payers do not provide sufficient coverage or reimbursement.</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drug candidate will depend upon the degree of market acceptance by physicians, patients, payors and others in the medical community.</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current clinical trials are being conducted outside the U.S., and the FDA may not accept data from trials conducted in foreign locations.]</w:t>
      </w: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key officers or employees that we need to implement our business strategy and develop our drug candidates and business, including those purchased in the EGEN asset acquisition.]</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our ability to grow and diversify, which in turn will require that we manage and control our growth effectively.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the failure to compete effectively could adversely affect our ability to develop and market our products, if approved.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product liability claims and litigation.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CROs or other contractors or consultants, may fail or suffer security breaches, which could result in a material disruption of our product development programs.</w:t>
      </w: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25"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license agreements with third parties to permit us to use patented technologies. The loss of any of our rights under these agreements could impair our ability to develop and market our products.</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pending patent applications do not issue, or are deemed invalid following issuance, we may lose valuable intellectual property protection.</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and other unpatented proprietary rights for important proprietary technologies, and any loss of such rights could harm our business, results of operations and financial condition.</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Securities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significantly volatile.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if we fail to comply with continued listing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significant dilution as a result of future equity offerings or issuances and exercise of outstanding options and warrants.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are subject to certain limitations.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cash dividends on our common stock and do not anticipate paying dividends in the foreseeable future.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 and we may never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$369 million at December 31, 2022. For the years ended December 31, 2022 and 2021, we incurred net losses of $35.9 million and $20.8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GEN-1 and other new drug candidates and these drug candidates have been clinically tested, approved by the U.S. FDA and successfully marketed. The amount of future losses is uncertain. Our ability to achieve profitability, if ever, will depend on, among other things, the following, which we cannot guarantee:, us or our collaborators successfully developing drug candidates, obtaining regulatory approvals to market and commercialize drug candidates, manufacturing any approved products on commercially reasonable terms, establishing a sales and marketing organization or suitable third-party alternatives for any approved product, generating sufficient sales revenue from our drug candidates, and raising sufficient funds to finance business activities.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drug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2022, we incurred a net loss of $35.9 million. We have incurred approximately $369 million of cumulative net losses. As of December 31, 2022, we had cash and cash equivalents, short-term investments, interest receivable, net proceeds on the sale of net operating losses and restricted money market investments of $38.9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drug candidates through various development stages.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drug candidates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obtain approvals is also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drug candidates, the imposition of marketing limitations, or a product withdrawal would negatively impact our business.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drug candidates, when and if approved. Finally, even if we obtain FDA approval of any of our drug candidates, we may never obtain approval or commercialize such products outside of the U.S., given that we may be subject to additional regulatory burdens in other markets. This could limit our ability to realize their full market potential.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drug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drug candidate, or the period required for review of any final marketing approval before we are able to market any drug candidate.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Moreover, early positive preclinical or clinical trial results may not be replicated in later clinical trials. As more drug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drug candidates would delay or prevent marketing approval.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outbreak, duration and severity of the novel coronavirus disease, COVID-19 pandemic, or other similar health crises could adversely impact our business, including our preclinical studies and clinical trials.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As a result of the COVID-19 pandemic, or similar pandemics, we may experience disruptions that could severely affect our business, including our preclinical studies,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this report.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COVID-19 will continue to impact our business will depend on future developments, which are highly uncertain and its implications cannot be predicted with confidence. While, as of the date of this report, we have not experienced any material disruptions to the execution of the clinical trials and the research and development activities that we currently have underway, if we or any of the third parties with whom we engage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drug candidates such as ours can be significantly more expensive and take longer than for other, better known or more extensively studied drug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drug candidates in either the U.S. or the European Union or how long it will take to commercialize our drug candidates.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drug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drug candidates or lead to significant post-approval limitations or restrictions. Any increased scrutiny could delay or increase the costs of our product development efforts or clinical trials.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ongoing requirements for potentially costly post-approval studies. This governmental oversight may be particularly strict with respect to gene-based therapies.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research programs resulting from factors related to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drug candidates, delay or halt the development of and approval processes for our drug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drug candidates. Any of the foregoing could cause the value of our company to decline and limit our ability to obtain additional financing, if needed.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drug candidates in a timely or cost-effective manner.</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drug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any of our third-party manufacturers or testing contractors fail to maintain regulatory compliance, this could cause the delay of clinical trials, regulatory submissions, required approvals or commercialization of our drug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manufacturers.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our third-party manufacturers to implement and that may include the temporary or permanent suspension of a clinical trial or commercial sales or the temporary or permanent closure of a manufacturing facility. Any such remedial measures imposed upon third parties with whom we contract could materially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enter into and maintain successful strategic alliances for our drug candidates, we may have to reduce or delay our drug candidate development or increase our expenditures. To the extent was are able to enter into strategic transactions, we will be exposed to risks related to those collaborations and alliances.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element of our strategy for developing, manufacturing and commercializing our drug candidates is entering into strategic alliances with pharmaceutical companies, research institutions or other industry participants to advance our programs and enable us to maintain our financial and operational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seeking appropriate alliances. We may not be able to negotiate alliances on acceptable terms, if at all. In addition, these alliances may be unsuccessful. If we fail to create and maintain suitable alliances, we may have to limit the size or scope of, or delay, one or more of our drug development or research programs. If we elect to fund drug development or research programs on our own, we will have to increase our expenditures and will need to obtain additional funding, which may be unavailable or available only on unfavorable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drug candidates, impact our cash position, increase our expenses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drug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drug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drug candidates and have a negative impact on the competitiveness of any drug candidate that reaches market.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IMNN-001 and may seek Orphan Drug Designation for other drug candidates, but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has been granted orphan drug designation for ovarian cancer in both the U.S. and Europe. Regulatory authorities in some jurisdictions, including the U.S. and Europe, may designate drugs or biologics for relatively small patient populations as orphan drugs. Under the Orphan Drug Act, the FDA may designate a drug or biologic as an orphan drug if the disease or condition for which the drug is intended affects fewer than 200,000 individuals annually in the U.S., or, if the drug is intended for a disease or condition affecting 200,000 or more people in the U.S., there is no reasonable expectation that the cost of research and developing the drug or biologic for the indication can be recovered by sales of the drug in the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though we have obtained Orphan Drug Designation for IMNN-001 and may obtain such designation for other drug candidates in specific indications, we may not be the first to obtain marketing approval of these drug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has received U.S. FDA Fast Track Designation in 2021.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administrative burdens, reputational harm and diminished profits and future earnings.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drug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any drug candidates that we may successfully develop and for which we may obtain regulatory approval and may affect our overall financial condition and ability to develop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varying degrees of governmental regulation in the countries in which we operate operations, and the general trend is toward increasingly stringent regulation and enforcement. We are, for example, subject to costly and complex U.S. and foreign laws governing the collection, use, disclosure, and cross-border transfer of information about patients and other individuals that may materially adversely affect our financial condition and business operations. Since we conduct clinical trials in the European Economic Area (“EEA”), we are subject to additional data protection and clinical trial laws in the European Union. The General Data Protection Regulation, (EU) 2016/679 (“GDPR”), for example, governs the processing of personal data, and imposes numerous requirements on companies that process personal data, including requirements relating to processing health and other sensitive data, obtaining consent of the individuals to whom the personal data relates, providing notices to individuals regarding data processing activities, implementing safeguards to protect the security and confidentiality of personal data, alerting data subjects and authorities about data breaches, and taking specific measures when engaging third-party processors. The GDPR also imposes strict rules on the transfer of personal data to countries outside the EEA, including the U.S., and confers on data subjects the right to lodge complaints with supervisory authorities, and seek certain judicial review for violations of the GDPR. In addition, the GDPR includes restrictions on cross-border data transfers. Under the GDPR, competent regulatory authorities have the power to impose fines up to EUR 20 million or 4% of the global annual turnover (whichever is higher), depending on the nature of the violation (see Art. 83, GDPR). Further consequences of non-compliance could be cease and desist claims by certain organizations/competitors, damage claims and reputational damage. Further, Regulation (EU) No 536/2014 of the European Parliament and of the Council of 16 April 2014 on clinical trials on medicinal products for human use and repealing Directive 2001/20/EC governs how we conduct clinical trials in the European Union together with Good Clinical Practices. As a result of Brexit, moreover, we also have independent obligations, similar to those already imposed on us by GDPR, under the United Kingdom’s Data Protection Act, 2018, as amended and replaced from time to time, as well as other local Member State data protection laws, industry-specific requirements, regulations, or applicable codes of conduct. We have established privacy compliance programs and controls, but as with many technology and data-driven initiatives being prioritized across throughout our operations and involving multiple vendors and third parties, there are potential risks of controls imposed on cross border data flows, unauthorized access, and loss of personal data through internal and external threats that could impact our business operations and research activities.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Patients are unlikely to use our drug candidates unless coverage is provided, and reimbursement is adequate to cover a significant portion of the cost. We cannot be sure that coverage and reimbursement will be available for, or accurately estimate the potential revenue from, our drug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will depend upon their acceptance by the medical community and third-party payors as clinically useful, cost effective and safe. Any of our drug candidates or similar drug candidates being investigated by our competitors may prove not to be effective in trial or in practice, cause adverse events or other undesirable side effects. Our testing and clinical practice may not confirm the safety and efficacy of our drug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including providing adequate training on such topics.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 if approved.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and malicious software that could attack our networks and data centers or those of our service providers; unauthorized parties may attempt to gain access to our systems, networks, or facilities, or those of third parties with whom we do business, through fraud, trickery, or other forms of deceiving our employees or contractors, direct social engineering, phishing, credential stuffing, ransomware, denial or degradation of service attacks and similar types of attacks against any or all of us, our patients and our services providers; inadvertent security breaches or theft, misuse, unauthorized access or other improper actions by our employees, patients, service providers and other business partners; natural disasters, terrorism, war and telecommunication and electrical failures. . These extensive information security and cybersecurity threats, which affect companies globally, pose a risk to the security and availability of our systems and networks, and the confidentiality, integrity, and availability of our sensitive data. We continually assess these threats and makes investments to increase internal protection, detection, and response capabilities, as well as ensure that our third party providers have required capabilities and controls, to address those risks. Even so ,such events could cause significant interruptions of our operations. For instance, the loss of preclinical data or data from any clinical trial involving our drug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drug candidates could be delayed. In addition, such interruptions and cyber security incidents and faults can cause reputational damage.</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 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While we have a code of conduct and business ethics,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do not issue, or are deemed invalid following issuance, we may lose valuable intellectual property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drug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substantial costs as a result of litigation or other proceedings relating to patent and other intellectual property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 In addition, there is a risk that the court will decide that such patents are not valid and that we do not have the right to stop the other party from using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some of these factors are beyond our control. Broad market fluctuations may lower the market price of our common stock and affect the volume of trading in our stock, regardless of our financial condition, results of operations, business or prospects. In addition to the factors discussed in this “Risk Factors” section and elsewhere in this annual report, these factors include:</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actual or potential clinical results with respect to drug candidates we are developing;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abroad;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about the safety or efficacy of our drug candidates or technology, or related technology, or new technologies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about the safety or efficacy of our drug candidates or technology, or related technology, or new technologies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by our competitors or others;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comments by securities analysts and investors.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Our common stock may be delisted from The Nasdaq Capital Market if we fail to comply with continued listing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under the symbol “IMNN.” If we fail to comply with Nasdaq’s continued listing standards, we may be delisted and our common stock will trade, if at all, only on the over-the-counter market, such as the OTC Bulletin Board or OTCQX market, and then only if one or more registered broker-dealer market makers comply with quotation requirements. In addition, delisting of our common stock could depress our stock price, substantially limit liquidity of our common stock and materially adversely affect our ability to raise capital on terms acceptable to us, or at all. Further, delisting of our common stock would likely result in our common stock becoming a “penny stock” under the Exchange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28, 2023, we had 9,089,789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28, 2023, we have the following number of securities convertible into, or allowing the purchase of, our common stock, including 168,519 shares of common stock issuable upon exercise of warrants outstanding, 820,507 options to purchase shares of our common stock and restricted stock awards outstanding, and 388,932 shares of common stock reserved for future issuance under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Unstable global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global capital markets and is expected to have further global economic consequences, including with respect to global supply chain and energy concerns.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disruptions to the U.S. banking system may adversely affect our ability to access additional capital when needed on acceptable terms. For example, on March 10, 2023, Silicon Valley Bank (“SVB”) was closed by the California Department of Financial Protection and Innovation, which appointed the Federal Deposit Insurance Corporation (“FDIC”) as receiver. Although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or any other financial institution that is placed into receivership by the FDIC may be impacted by other disruptions to the U.S. banking system caused by the recent developments involving SVB, including potential delays in the ability to transfer funds and in the short-term potential delays in making payments to vendors while new banking relationships are established.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Any such volatility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the then President of the U.S.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2022, 2021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2018, 2020 and 2021.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 Future changes in tax laws could also impair our corporate tax rate and/or our ability to utilize our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no real property and have no plans to acquire any real property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Lawrenceville, NJ Lease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On February 1, 2019, we amended the current terms of the lease to increase the size of the premises by 2,285 square feet to 9,850 square feet and also extended the lease term by one year to September 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Huntsville, AL Lease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Asset Purchase Agreement with EGEN in June 2014, we assumed the existing lease with another landlord for an 11,500 square foot premises located in Huntsville, Alabama. In January 2018, we entered into a 60-month lease agreement for 9,049 square feet with rent payments of approximately $18,100 per month. On June 9, 2021, the Company and the Huntsville landlord entered into a 22-month lease, as amended on July 2021, for an additional 2,197 square foot premises with rent payments of approximately $5,500 per month. In January 2023, we renewed Huntsville for a 60-month lease agreement for 11,420 square feet with rent payments of approximately $28,550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existing facilities are suitable and adequate to conduct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of future payments and maturity of our operating lease liabilities as of December 31, 2022:</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0.61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operating lease expense was $587,744 and cash paid for operating leases included in operating cash flows was $601,495. For 2021, operating lease expense was $560,513 and cash paid for operating leases included in operating cash flows was $568,269.</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alleges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 On March 10, 2023, the U.S. District Court for the District of New Jersey issued an order that the action is administratively terminated pending the submission, by March 17, 2023, of a joint letter advising as to how the parties wish to proceed in the matter.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2021, an arbitration was commenced against the Company before the CPR Institute for Conflict Prevention &amp; Resolution, captioned Curia New Mexico, LLC v. Celsion Corp., Case No. G-22-85-S. The plaintiff alleges that the Company failed to pay invoices for the manufacture of ThermoDox®. The Company believes it has a meritorious defense to these claims and is vigorously contesting this allegation. At this stage of the case neither the likelihood that a loss, if any, will be realized, nor an estimate of possible loss or range of loss, if any, can be determined.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2023, there were approximately 28,000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discussions should be read in conjunction with the Financial Statements and related notes thereto included in this Annual Report. 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the Company’s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Times New Roman" w:cs="Times New Roman" w:eastAsia="Times New Roman" w:hAnsi="Times New Roman"/>
          <w:sz w:val="18"/>
          <w:szCs w:val="18"/>
          <w:b w:val="1"/>
          <w:bCs w:val="1"/>
          <w:color w:val="auto"/>
        </w:rPr>
        <w:t>“Part I, Item 1A - Risk Factors”</w:t>
      </w:r>
      <w:r>
        <w:rPr>
          <w:rFonts w:ascii="Times New Roman" w:cs="Times New Roman" w:eastAsia="Times New Roman" w:hAnsi="Times New Roman"/>
          <w:sz w:val="18"/>
          <w:szCs w:val="18"/>
          <w:color w:val="auto"/>
        </w:rPr>
        <w:t xml:space="preserve"> appearing in this Annual Report and factors described in other cautionary statements, cautionary language and risk factors set forth in other documents that the Company files with the Securities and Exchange Commission. The Company undertakes no obligation to publicly update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new ticker symbol “IMNN” effective as of the opening of trading on September 21, 2022. The Company filed an amendment to its Articles of Incorporation to effect the new corporate name.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Our TheraPlas® platform for the development of immunotherapies and other anti-cancer nucleic acid-based therapies, and our PLACCINE platform for the development of nucleic acid vaccines for infectious diseases and cancer.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We will continue to leverage these platforms and to advance the technological frontier of plasmid DNA to better serve patients with difficult to treat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Inc., a privately held corporation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IMNN-001.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a small amount escaping into the systemic circulation. PPC is the delivery component of our lead TheraPlas product, IMNN-001,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Imunon in a position to capitalize on this technology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(formerly 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FDA accepted, without objection, the OVATION I Study. On September 30, 2015,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announced enrollment of the first patient in the OVATION I Study. The OVATION I Study was designed to:</w:t>
      </w:r>
    </w:p>
    <w:p>
      <w:pPr>
        <w:spacing w:after="0" w:line="15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IMNN-001 by recruiting and maximizing an immune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fourteen patients who completed treatment in the OVATION I Study. IMNN-001 plus standard chemotherapy produced no dose 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IMNN-001 in newly diagnosed, advanced ovarian cancer patients by the FDA. In its March 2019 discussion with the Company, the FDA noted that preliminary findings from the Phase Ib OVATION I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IMNN-001 cycles. Under the current standard of care, in women with Stage III/IV ovarian cancer undergoing NAC, their disease progresses within about 12 months on average. The results from the OVATION I Study support continued evaluation of IMNN-001 based on promising tumor response, as reported in the PFS data, and the ability for surgeons to completely remove visible tumor at interval debulking surgery. IMNN-001 was well tolerated, and no dose-limiting toxicities were detected. Intraperitoneal administration of IMNN-001 was feasible with broad patient acceptance.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IMNN-001 immunotherapy program. On November 13, 2017, the Company filed its Phase I/II clinical trial protocol with the FDA for IMNN-001 for the localized treatment of ovarian cancer. The protocol is designed with a single dose escalation phase to 100 mg/m² to identify a safe and tolerable dose of IMNN-001 while maximizing an immune response. The Phase I portion of the study will be followed by a continuation at the selected dose in approximately 110 patients randomized Phase II study.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will receive IMNN-001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IMNN-001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IMNN-001,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IMNN-001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fifteen patients treated in the Phase I portion of the OVATION 2 Study, nine patients were treated with IMNN-001 at a dose of 100 mg/m² plus NACT and six patients were treated with NACT only. All fifteen patients had successful resections of their tumors, with eight out of nine patients (88%) in the IMNN-001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8600" w:hanging="195"/>
        <w:spacing w:after="0"/>
        <w:tabs>
          <w:tab w:leader="none" w:pos="86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 R0</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156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Resections</w:t>
            </w:r>
          </w:p>
        </w:tc>
        <w:tc>
          <w:tcPr>
            <w:tcW w:w="160" w:type="dxa"/>
            <w:vAlign w:val="bottom"/>
            <w:tcBorders>
              <w:bottom w:val="single" w:sz="8" w:color="CCEEFF"/>
            </w:tcBorders>
          </w:tcPr>
          <w:p>
            <w:pPr>
              <w:spacing w:after="0"/>
              <w:rPr>
                <w:sz w:val="19"/>
                <w:szCs w:val="19"/>
                <w:color w:val="auto"/>
              </w:rPr>
            </w:pPr>
          </w:p>
        </w:tc>
      </w:tr>
      <w:tr>
        <w:trPr>
          <w:trHeight w:val="216"/>
        </w:trPr>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0, 36,</w:t>
            </w: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 mg/m² of IMNN-001 plus NACT</w:t>
            </w:r>
          </w:p>
        </w:tc>
        <w:tc>
          <w:tcPr>
            <w:tcW w:w="18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 =12</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61, 79,</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mg/m² of IMNN-001 plus NACT</w:t>
            </w:r>
          </w:p>
        </w:tc>
        <w:tc>
          <w:tcPr>
            <w:tcW w:w="1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 = 17</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IMNN-001 patients were comparable, as expected, to the higher (61, 79, 100 mg/m²) dose IMNN-001 patients, with both groups demonstrating an approximate 80% ORR.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IMNN-001 be designated as an orphan medicinal product for the treatment of ovarian cancer. IMNN-001 is an IL-12 DNA plasmid vector encased in a non-viral nanoparticle delivery system, which enables cell transfection followed by persistent, local secretion of the IL-12 protein. IMNN-001 previously received orphan designation from the FDA.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IMNN-001,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 which indicates a microscopically margin-negative complete resection in which no gross or microscopic tumor remains in the tumor bed.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IMNN-001 patients compared with control arm patients and is consistent with the reported improvement in resection scores noted in the encouraging Phase I OVATION I Study, the manuscript of which has been submitted for peer review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6"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IMNN-001 during a course of treatment that lasts up to six months. No dose-limiting toxicities were reported. Interim clinical data from patients who have undergone interval debulking surgery showed that the IMNN-001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has completed enrollment with 110 patients. Topline results are expected in the first half of 2024.</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Avastin. </w:t>
      </w:r>
      <w:r>
        <w:rPr>
          <w:rFonts w:ascii="Times New Roman" w:cs="Times New Roman" w:eastAsia="Times New Roman" w:hAnsi="Times New Roman"/>
          <w:sz w:val="18"/>
          <w:szCs w:val="18"/>
          <w:color w:val="auto"/>
        </w:rPr>
        <w:t>In February 2023, the Company and Break Through 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 the commencement of patient enrollment in a collaboration to evaluate IMNN-001 in combination with Avastin®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1/2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will be randomized 1:1 in a two-arm trial. The primary endpoint is second look laparoscopy (SLL) and the secondary endpoint is progression-free survival (PFS). Initial SLL data are expected within one year from the completion of enrollment and final PFS data are expected approximately three years from the completion of enrollment.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pursue certain pathogens BARDA has identified as the most urgent and the most important.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Imunon’s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Imunon’s DNA-based approach for a SARS-CoV-2 vaccine. The NHP pilot study follows the generation of encouraging mouse data and will evaluate the Company’s lead vaccine formulations for safety, immunogenicity and protection against SARS-CoV-2. In completed preclinical studies, Imunon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novel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non-human primate study involving three vaccine-treated non-human primates. The final data are consistent with the earlier data, and show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has now completed 9 months demonstrating continued drug stability at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(standard refrigerated temperature).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intends to choose the next pathogen target for our PLACCINE modality and to hold a pre-Investigational New Drug (pre-IND) meeting with the U.S. Food and Drug Administration in advance of beginning human testing of a SARS-CoV-2 seasonal booster vaccine. Of note, the design of that trial will also inform the path for the next pathogen we will study, perhaps in early 2024. Incremental investments to generate novel vaccine designs with optimized antigens will allow Imunon to quickly generate early clinical data against additional pathogen targets that position the company to partner with large vaccine companies who will fund remaining clinical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 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the Company.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 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 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working closely and supporting investigations by others to evaluate the use of ThermoDox for the treatment of various cancers. Following inquiries from the NIH, we renewed our Cooperative Research and Development Agreement (“CRADA”) with the Institute at a nominal cost,</w:t>
      </w:r>
    </w:p>
    <w:p>
      <w:pPr>
        <w:jc w:val="both"/>
        <w:spacing w:after="0" w:line="221" w:lineRule="auto"/>
        <w:rPr>
          <w:sz w:val="20"/>
          <w:szCs w:val="20"/>
          <w:color w:val="auto"/>
        </w:rPr>
      </w:pPr>
      <w:r>
        <w:rPr>
          <w:rFonts w:ascii="Times New Roman" w:cs="Times New Roman" w:eastAsia="Times New Roman" w:hAnsi="Times New Roman"/>
          <w:sz w:val="18"/>
          <w:szCs w:val="18"/>
          <w:color w:val="auto"/>
        </w:rPr>
        <w:t>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the Company is developing a business model to support these investigator-sponsored studies in a manner that will not interfere with its current focus on our IMNN-001 program and vaccine development initiative.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The Company has not generated significant revenue and has incurred significant net losses in each year since our inception. As of December 31, 2022, the Company has incurred approximately $369 million of cumulative net losses and had approximately $38.9 million in cash and cash equivalents, short-term investments, interest receivable, and restricted cash.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continues to evolve and may have an adverse effect on our operations and drug candidate development timelines. Uncertainty with respect to the economic impacts of the pandemic introduced significant volatility in the financial markets. The Company did not observe significant impacts on its business or results of operations during 2021 or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and the Russian invasion of Ukraine. These disruptions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 included in this Annual Report.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drug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cumulative NOLs from 2011 to 2018 totaling $13 million and received net proceeds of $12.2 million. As part of the NOL Program, the Company sold $1.6 million and $1.5 million of its New Jersey NOLs in 2022 and 2021, respectively. The sale of these net operating losses resulted in net proceeds to the Company of approximately $1.6 million in 2022 and $1.4 million in 2021. During 2021, the New Jersey State Legislature increased the maximum lifetime benefit per company from $15 million to $20 million, which will allow the Company to participate in this funding program in future years for up to an additional $1.8 million in net operating losses under this maximum lifetime benefit.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Imunon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Imunon repaid $5 million of the $10 million loan and $0.2 million in related end of term charges, and the remaining $5 million in obligations were restructured. As more fully discussed in Note 8 to the Financial Statements, in June 2021, the Company entered into a $10 million loan facility (the “SVB Loan Facility”) with Silicon Valley Bank (“SVB”). The Company immediately used $6 million from this facility to retire all outstanding indebtedness with Horizon. The funding is in the form of money market secured indebtedness bearing interest at a calculated WSJ Prime-based variable rate (currently 7.75%). Payments under the loan agreement are interest only for the first 24 months after loan closing, followed by a 24-month amortization period of principal and interest through the scheduled maturity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NOL Program sponsored by The New Jersey Economic Development Authority. Under the program, emerging biotechnology companies with unused NOLs and unused research and development credits are allowed to sell these benefits to other New Jersey-based companies. In 2018, 2019 and 2020, the Company sold cumulative NOLs from 2011 to 2019 totaling $15 million and received net proceeds of $14 million. As part of the NOL Program, the Company sold $1.6 million and $1.5 million of its New Jersey NOLs in 2022 and 2021, respectively. The sale of these net operating losses resulted in net proceeds to the Company of approximately $1.6 million in 2022 and $1.4 million in 2021. During 2021, the New Jersey State Legislature increased the maximum lifetime benefit per company from $15 million to $20 million, which will allow the Company to participate in this funding program in future years for up to an additional $1.9 million in net operating losses under this maximum lifetime benefit.</w:t>
      </w:r>
    </w:p>
    <w:p>
      <w:pPr>
        <w:spacing w:after="0" w:line="1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more fully discussed in Note 10 to the Financial Statements, during 2021, the Company raised approximately $6.9 million in gross proceeds from the use of its JonesTrading Capital on Demand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financing facility, $35 million from a registered direct financing completed in January 2021, $15 million from a registered direct financing completed on April 5, 2021, and $1.5 million from warrant exercises. With $38.9 million in cash and cash equivalents, short-term investments, interest receivable, net proceeds on the sale of NOLs and restricted cash, the Company believes it has sufficient capital resources to fund its operations into 2025.</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 Credit Agreement with Horizon Technology Finance Corporation (“Horizon”) that provided $10 million in capital (the “Horizon Credit Agreement”) in June 2018. The obligations under the Horizon Credit Agreement are secured by a first-priority security interest in substantially all assets of Imunon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Imunon repaid $5 million of the $10 million loan and $0.2 million in related end of term charges, and the remaining $5 million in obligations were restructured.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As more fully discussed in Note 8 to the Financial Statements included in this Annual Report, in June 2021, the Company entered into a $10 million loan facility with Silicon Valley Bank. The Company immediately used $6 million from this facility to retire all outstanding indebtedness with Horizon Technology Finance Corporation. The funding is in the form of money market secured indebtedness bearing interest at a calculated WSJ Prime-based variable rate (currently 7.75%). Payments under the loan agreement are interest only for the first 24 months after loan closing, followed by a 24-month amortization period of principal and interest through the scheduled maturity date. On March 10, 2023, the Federal Deposit Insurance Corporation was appointed as receiver for SVB and created the National Bank of Santa Clara to hold the deposits of SVB after SVB was unable to continue their operations. While the National Bank of Santa Clara has publicly assured holders of credit facilities that they intend to honor those facilities, our credit agreement may not be available in all or in part in the near future depending on the resolution of SVB.</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and 2022 we issued a total of 4.7 million shares of common stock as discussed below for an aggregate $64.4 million in gross proceeds.</w:t>
      </w:r>
    </w:p>
    <w:p>
      <w:pPr>
        <w:spacing w:after="0" w:line="225" w:lineRule="exact"/>
        <w:rPr>
          <w:sz w:val="20"/>
          <w:szCs w:val="20"/>
          <w:color w:val="auto"/>
        </w:rPr>
      </w:pPr>
    </w:p>
    <w:p>
      <w:pPr>
        <w:jc w:val="both"/>
        <w:ind w:left="1140" w:hanging="565"/>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2021, the Company has sold 0.5 million shares under the Capital on Demand Agreement, receiving approximately $6.9 million in gross proceeds under the Capital on Demand Agreement. The Capital on Demand Agreement with JonesTrading was terminated in the first quarter of 2021.</w:t>
      </w:r>
    </w:p>
    <w:p>
      <w:pPr>
        <w:spacing w:after="0" w:line="183" w:lineRule="exact"/>
        <w:rPr>
          <w:rFonts w:ascii="Times New Roman" w:cs="Times New Roman" w:eastAsia="Times New Roman" w:hAnsi="Times New Roman"/>
          <w:sz w:val="18"/>
          <w:szCs w:val="18"/>
          <w:color w:val="auto"/>
        </w:rPr>
      </w:pPr>
    </w:p>
    <w:p>
      <w:pPr>
        <w:jc w:val="both"/>
        <w:ind w:left="1140" w:hanging="565"/>
        <w:spacing w:after="0" w:line="254"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 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8" w:lineRule="exact"/>
        <w:rPr>
          <w:rFonts w:ascii="Times New Roman" w:cs="Times New Roman" w:eastAsia="Times New Roman" w:hAnsi="Times New Roman"/>
          <w:sz w:val="18"/>
          <w:szCs w:val="18"/>
          <w:color w:val="auto"/>
        </w:rPr>
      </w:pPr>
    </w:p>
    <w:p>
      <w:pPr>
        <w:jc w:val="both"/>
        <w:ind w:left="1140" w:hanging="565"/>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769,230 shares of the Company’s common stock, at an offering price of $19.50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3" w:lineRule="exact"/>
        <w:rPr>
          <w:rFonts w:ascii="Times New Roman" w:cs="Times New Roman" w:eastAsia="Times New Roman" w:hAnsi="Times New Roman"/>
          <w:sz w:val="18"/>
          <w:szCs w:val="18"/>
          <w:color w:val="auto"/>
        </w:rPr>
      </w:pPr>
    </w:p>
    <w:p>
      <w:pPr>
        <w:jc w:val="both"/>
        <w:ind w:left="1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March 2021 Offering, the Company entered into a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left="660" w:hanging="328"/>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88"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(the “Charter”), to effect a reverse stock split of the outstanding shares of common stock (“Common Stock”) by a ratio to be determined by the Board of Directors of the Company (the “Reverse Stock Split”), ranging from 7-to-1 to, 10-to-1, 12-to-1 or 15-to-1.</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as placement agent pursuant to which the Company agreed to pay AGP an aggregate cash fee equal to $1,000,000 and reimburse AGP for certain of their expenses in an amount not to exceed $110,000.</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of all of its 50,000 outstanding shares of Series A Preferred Stock and its 50,000 outstanding Series B Preferred Stock. As a result, all shares of the Preferred Stock have been retired and are no longer outstanding and Imunon’s only class of outstanding stock is its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The Company did not sell any shares under the Agreement with Wainwright in the first nine months of 2022. From October 1, 2022 through the date of December 31, 2022, the Company sold 336,075 shares of stock for net proceeds of $503,798. In 2023, the Company has sold 1,653,392 shares of stock for net proceeds of $2,465,656.</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b w:val="1"/>
          <w:bCs w:val="1"/>
          <w:color w:val="auto"/>
        </w:rPr>
        <w:t>Note 2 to our Financial Statements</w:t>
      </w:r>
      <w:r>
        <w:rPr>
          <w:rFonts w:ascii="Times New Roman" w:cs="Times New Roman" w:eastAsia="Times New Roman" w:hAnsi="Times New Roman"/>
          <w:sz w:val="18"/>
          <w:szCs w:val="18"/>
          <w:color w:val="auto"/>
        </w:rPr>
        <w:t xml:space="preserve">. Also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including, but not limited to</w:t>
      </w:r>
      <w:r>
        <w:rPr>
          <w:rFonts w:ascii="Times New Roman" w:cs="Times New Roman" w:eastAsia="Times New Roman" w:hAnsi="Times New Roman"/>
          <w:sz w:val="18"/>
          <w:szCs w:val="18"/>
          <w:i w:val="1"/>
          <w:iCs w:val="1"/>
          <w:color w:val="auto"/>
        </w:rPr>
        <w:t>,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drug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Our financial statements, which appear at </w:t>
      </w:r>
      <w:r>
        <w:rPr>
          <w:rFonts w:ascii="Times New Roman" w:cs="Times New Roman" w:eastAsia="Times New Roman" w:hAnsi="Times New Roman"/>
          <w:sz w:val="18"/>
          <w:szCs w:val="18"/>
          <w:b w:val="1"/>
          <w:bCs w:val="1"/>
          <w:color w:val="auto"/>
        </w:rPr>
        <w:t>Part II, Item 8. Financial Statements and Supplementary Data</w:t>
      </w:r>
      <w:r>
        <w:rPr>
          <w:rFonts w:ascii="Times New Roman" w:cs="Times New Roman" w:eastAsia="Times New Roman" w:hAnsi="Times New Roman"/>
          <w:sz w:val="18"/>
          <w:szCs w:val="18"/>
          <w:color w:val="auto"/>
        </w:rPr>
        <w:t xml:space="preserve"> of this Annual Report have been prepared in accordance with accounting principles generally accepted in the U.S., which require that we make certain assumptions and estimates and, in connection therewith, adopt certain accounting policies. Our significant accounting policies are set forth in </w:t>
      </w:r>
      <w:r>
        <w:rPr>
          <w:rFonts w:ascii="Times New Roman" w:cs="Times New Roman" w:eastAsia="Times New Roman" w:hAnsi="Times New Roman"/>
          <w:sz w:val="18"/>
          <w:szCs w:val="18"/>
          <w:b w:val="1"/>
          <w:bCs w:val="1"/>
          <w:color w:val="auto"/>
        </w:rPr>
        <w:t>Note 1 to our Financial Statements</w:t>
      </w:r>
      <w:r>
        <w:rPr>
          <w:rFonts w:ascii="Times New Roman" w:cs="Times New Roman" w:eastAsia="Times New Roman" w:hAnsi="Times New Roman"/>
          <w:sz w:val="18"/>
          <w:szCs w:val="18"/>
          <w:color w:val="auto"/>
        </w:rPr>
        <w:t>. Of those policies, we believe that the policies discussed below may involve a higher degree of judgment and may be more critical to an accurate reflection of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During 2014, the Company acquired certain assets of EGEN, Inc. As more fully described in </w:t>
      </w:r>
      <w:r>
        <w:rPr>
          <w:rFonts w:ascii="Times New Roman" w:cs="Times New Roman" w:eastAsia="Times New Roman" w:hAnsi="Times New Roman"/>
          <w:sz w:val="18"/>
          <w:szCs w:val="18"/>
          <w:b w:val="1"/>
          <w:bCs w:val="1"/>
          <w:color w:val="auto"/>
        </w:rPr>
        <w:t>Note 6 to our Financial Statements</w:t>
      </w:r>
      <w:r>
        <w:rPr>
          <w:rFonts w:ascii="Times New Roman" w:cs="Times New Roman" w:eastAsia="Times New Roman" w:hAnsi="Times New Roman"/>
          <w:sz w:val="18"/>
          <w:szCs w:val="18"/>
          <w:color w:val="auto"/>
        </w:rPr>
        <w:t>,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Ended December 31, 2022 and Fiscal Year Ended December 31,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our net loss was $35.9 million compared to a net loss of $20.8 million for the year ended December 31, 2021. The Company recognized $1.6 million and $1.4 million in tax benefits from the sale of its New Jersey net operating losses under the NOL Program in each of the fourth quarters of 2022 and 2021, respectively. With $38.9 million in cash and cash equivalents, short-term investments, interest receivable, net proceeds on the sale of net operating losses and restricted cash, the Company believes it has sufficient capital resources to fund its operations into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Development and Licensing Revenue</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The $5.0 million received as a non-refundable payment from Hisun in the first quarter 2013 has been recorded to deferred revenue and was amortized over the ten-year term of the agreement; therefore, we recognized revenue of $500,000 in each of the years 2022 and 2021. As of December 31, 2022, this contract has been fully amortized and recognized as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expenses increased $1.1 million from $10.6 million in 2021 to $11.7 million in 2022. Costs associated with the OVATION 2 Study were $1.5 and $1.3 million in 2022 and 2021, respectively. Costs associated with the OPTIMA Study decreased to $0.5 million in 2022 compared to $1.0 million in 2021. Other clinical and regulatory costs were $2.3 million in 2022 compared to $2.6 million in 2021. R&amp;D costs associated with the development of IMNN-001 to support the OVATION 2 Study as well as development of the PLACCINE DNA vaccine technology platform increased to $6.1 million in 2022 compared to $4.3 million in the same period of 2021. CMC costs decreased to $1.2 million in 2022 compared to $1.5 million in the same period of 2021 due to the discontinuation of the ThermoDox® clinical development program in primary liver cancer.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to $13.7 million in 2022 compared to $10.9 million in 2021. This increase is primarily attributable to higher professional fees (primarily legal fees) of $1.8 million and an increase in staffing costs, which were partially offset by lower stock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 milestone liability is fair valued at the end of each quarter and any change in the value is recognized in our Financial Statements.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On March 28, 2019, the Company and EGWU, Inc, entered into an amendment to the Asset Purchase Agreement discussed in </w:t>
      </w:r>
      <w:r>
        <w:rPr>
          <w:rFonts w:ascii="Times New Roman" w:cs="Times New Roman" w:eastAsia="Times New Roman" w:hAnsi="Times New Roman"/>
          <w:sz w:val="18"/>
          <w:szCs w:val="18"/>
          <w:b w:val="1"/>
          <w:bCs w:val="1"/>
          <w:color w:val="auto"/>
        </w:rPr>
        <w:t>Note 13 to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Pursuant to the Amended Asset Purchase Agreement, payment of the earnout milestone liability related to the Ovarian Cancer Indication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 million has been modified. The Company has the option to make the payment as follows:</w:t>
      </w:r>
    </w:p>
    <w:p>
      <w:pPr>
        <w:spacing w:after="0" w:line="17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the Company wrote off the earn-out milestone liability as a result of the requirements not being achieved and recognized a non-cash gain of $5.4 million during 2022 as a result of the change in the fair value of the earn-out milestone liability. At December 31, 2021, the Company fair valued the earn-out milestone liability at $5.4 million and recognized a non-cash gain of $1.6 million during 2021 as a result of the change in the fair value of the earn-out milestone liability of $7.0 million at December 31, 2020. In assessing the fair value of the earnout milestone liability at December 31, 2021, the Company considered each of the settlement provisions per the Amended Asset Purchase Agreement and equally weighted the probability of a cash or cash and common stock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Goodwill and IPR&amp;D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IPR&amp;D and Goodwill are reviewed for impairment at least annually by assessing if any events or changes in circumstances have occurred which indicate that the carrying value of the assets might not be recoverable.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2021 and its impact on market capitalization rates in this sector, IPR&amp;D was reviewed for impairment. Having conducted a quantitative analysis of the company’s IPR&amp;D assets, the Company concluded the IPR&amp;D asset was impaired during the fourth quarter of 2022. As of December 31, 2022, the Company wrote off the $13.4 million carrying value of this asset, thereby recognizing a non-cash charge of $13.4 million in the fourth quarter of 2022. The Company conducted a valuation analysis of its IPR&amp;D for the ovarian cancer indication as of December 31, 2021. Based on this valuation analysis, the Company has concluded that it is not more likely than not that the asset is impaired as of December 31, 2021. As such, no impairment charges for IPR&amp;D related to the ovarian cancer indication were recorded during 2021.</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in 2021 and its impact on market capitalization rates in this sector, Goodwill was reviewed for impairment as of December 31, 2021. Based on this assessment, the Company concluded that Goodwill was impaired during the fourth quarter of 2021. As of December 31, 2021, the Company wrote off the $2.0 million carrying value of this asset, thereby recognizing a non-cash charge of $2.0 million in the fourth quarter of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$5.0 million in 2022 compared to $0.6 million in 2021. As more fully discussed in Note 9 to the Financial Statements, in June 2021, the Company entered into a $10 million loan facility with Silicon Valley Bank. The Company immediately used $6 million from this facility to retire all outstanding indebtedness with Horizon Technology Finance Corporation.</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SVB and Horizon loan facilities, the Company incurred $0.5 million in interest expense in 2022 compared to $0.6 million in 2021. In connection with the termination of the Horizon loan facility in the second quarter of 2021, the Company paid early termination and end of term charges to Horizon and recognized $0.2 million as a loss on debt extinguishment.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discussed in Note 10 to the Financial Statements, in the first quarter of 2022, the Company incurred interest expense totaling $4.6 million attributed to the Series A and Series B Convertible Redeemable Preferred Stock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$0.5 million in 2022. Investment income was insignificant in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Annually, the State of New Jersey enables approved technology and biotechnology businesses with New Jersey net operating tax losses the opportunity to sell these losses through the NOL Program, thereby providing cash to companies to help fund their research and development and business operations. During 2021, the New Jersey State Legislature increased the maximum lifetime benefit per company from $15 million to $20 million, which will allow the Company to participate in this innovative funding program in future years. After the cumulative net operating loss sales through 2022, the Company has approximately $1.9 million remaining under the NOL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an agreement to sell the approved portion of the New Jersey NOLs applied for in 2022 for $1.6 million. At December 31, 2022, the Company evaluated the valuation reserve for its tax net operating losses associated with its New Jersey NOLs and reduced the valuation reserve and recognized $1.6 million as a deferred tax asset and an income tax benefit. The Company completed the sale of these net operating losses in January of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agreement to sell the approved portion of the New Jersey NOLs applied for in 2021 for $1.4 million. At December 31, 2021, the Company evaluated the valuation reserve for its tax net operating losses associated with its New Jersey NOLs and reduced the valuation reserve and recognized $1.4 million as a deferred tax asset and an income tax benefit. The Company completed the sale of these net operating losses in February of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agreement to sell the approved portion of the New Jersey NOLs applied for in 2020 for approximately $1.9 million. At December 31, 2020, the Company evaluated the valuation reserve for its tax net operating losses associated with its New Jersey NOLs and reduced the valuation reserve and recognized approximately $1.9 million as a deferred income tax asset and an income tax benefit. The Company completed the sale of these net operating losses in May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27" w:lineRule="auto"/>
        <w:rPr>
          <w:sz w:val="20"/>
          <w:szCs w:val="20"/>
          <w:color w:val="auto"/>
        </w:rPr>
      </w:pPr>
      <w:r>
        <w:rPr>
          <w:rFonts w:ascii="Times New Roman" w:cs="Times New Roman" w:eastAsia="Times New Roman" w:hAnsi="Times New Roman"/>
          <w:sz w:val="18"/>
          <w:szCs w:val="18"/>
          <w:color w:val="auto"/>
        </w:rPr>
        <w:t>development agreement with Hisun. The process of developing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$369 million at December 31, 2022.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we had total current assets of $37.2 million and current liabilities of $10.1 million, resulting in net working capital of $27.1 million. At December 31, 2022, we had cash and cash equivalents, short-term investments, interest receivable on short-term investments, net proceeds on the sale of net operating losses and money market investments ($6.0 million of which is restricted cash included in other assets) of $40.4 million. At December 31, 2021 we had total current assets of $51.9 million and current liabilities of $6.8 million, resulting in net working capital of $45.1 million. We have substantial future capital requirements to continue our research and development activities and advance our drug candidates through various development stages. The Company believes these expenditures are essential for the commercialization of its technologies. The Company believes it has sufficient capital resources to fund its operations into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2022 was $23.1 million. Our net loss of $35.9 million for 2022 included the following non-cash transactions: (i) $2.7 million in non-cash stock-based compensation expense, (ii) $13.4 million non-cash charge from the write-off of IPR&amp;D, and (iii) $0.2 million in non-cash interest expense. The $23.1 million net cash used in operating activities was funded from cash and cash equivalents, short term investments, and cash proceeds received in equity financings during 2022. At December 31, 2022, we had cash and cash equivalents, short-term investments, interest receivable on short term investments, receivable from the sale of New Jersey operating losses and money market investments ($6.0 million of which is restricted cash included in other assets) of $40.4 million. The Company believes it has sufficient capital resources to fund its operations into 2025. See Financing Overview.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2022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2022, our investments consisted of investments in government backed notes and obligations or in money market accounts and checking funds with variable market rates of interest. We believe our credit risk is immaterial.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2022, which is the end of the period covered by this Annual Report, our disclosure controls and procedures are effective.</w:t>
      </w:r>
    </w:p>
    <w:p>
      <w:pPr>
        <w:spacing w:after="0" w:line="18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In making this assessment, management used the criteria set forth by the Committee of Sponsoring Organizations of the Treadway Commission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its evaluation, management has concluded that the Company’s internal control over financial reporting is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our company’s registered public accounting firm regarding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in the fiscal year ended December 31, 2022,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herein incorporated by reference to the definitive Proxy Statement to be filed with the Securities and Exchange Commission pursuant to Regulation 14A within 120 days after the end of the fiscal year covered by this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Times New Roman" w:cs="Times New Roman" w:eastAsia="Times New Roman" w:hAnsi="Times New Roman"/>
          <w:sz w:val="18"/>
          <w:szCs w:val="18"/>
          <w:i w:val="1"/>
          <w:iCs w:val="1"/>
          <w:color w:val="auto"/>
        </w:rPr>
        <w:t>www.imunon.com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herein incorporated by reference to the definitive Proxy Statement to be filed with the Securities and Exchange Commission pursuant to Regulation 14A within 120 days after the end of the fiscal year covered by this Annual Report.</w:t>
      </w:r>
    </w:p>
    <w:p>
      <w:pPr>
        <w:spacing w:after="0" w:line="158"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herein incorporated by reference to the definitive Proxy Statement to be filed with the Securities and Exchange Commission pursuant to Regulation 14A within 120 days after the end of the fiscal year covered by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herein incorporated by reference to the definitive Proxy Statement to be filed with the Securities and Exchange Commission pursuant to Regulation 14A within 120 days after the end of the fiscal year covered by this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herein incorporated by reference to the definitive Proxy Statement to be filed with the Securities and Exchange Commission pursuant to Regulation 14A within 120 days after the end of the fiscal year covered by this Annual Report.</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Imunon, Inc. filed with this Annual Report, together with the reports of our independent registered public accountants and Management’s Report on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6"/>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35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0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r>
      <w:tr>
        <w:trPr>
          <w:trHeight w:val="432"/>
        </w:trPr>
        <w:tc>
          <w:tcPr>
            <w:tcW w:w="4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58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9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20"/>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Asset Purchase Agreement dated as of June 6, 2014, by and between Imunon, Inc. and EGEN, Inc., incorporated herein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Exhibit 2.1 to the Quarterly Report on Form 10-Q of the Company for the quarter ended June 30, 2014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to Asset Purchase Agreement between Celsion Corporation and EGWU, Inc., dated March 28, 2019 incorporated herein by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reference to Exhibit 10.1 to the Current Report on Form 8-K of the Company filed on April 1, 2019 (SEC File No. 001-15911).</w:t>
              </w:r>
            </w:hyperlink>
          </w:p>
        </w:tc>
        <w:tc>
          <w:tcPr>
            <w:tcW w:w="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Certificate of Incorporation of Imunon, dated March 24, 2023, incorporated herein by reference to Exhibit 3.1 to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Current Report on Form 8-K of the Company filed on March 24, 2023 (SEC File No. 001-15911).</w:t>
              </w:r>
            </w:hyperlink>
          </w:p>
        </w:tc>
        <w:tc>
          <w:tcPr>
            <w:tcW w:w="3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Bylaws of the Company, effective on September 19, 2022, incorporated by reference to Exhibit 3.3 to the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Report on Form 8-K of the Company, filed on September 19, 2022 (SEC File No. 001-15911).</w:t>
              </w:r>
            </w:hyperlink>
          </w:p>
        </w:tc>
        <w:tc>
          <w:tcPr>
            <w:tcW w:w="3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Representative’s Common Stock Purchase Warrant, incorporated herein by reference to Exhibit 4.2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8-K of the Company, filed on October 31, 2017 (SEC File No. 001-15911).</w:t>
              </w:r>
            </w:hyperlink>
          </w:p>
        </w:tc>
        <w:tc>
          <w:tcPr>
            <w:tcW w:w="47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Placement Agent Common Stock Purchase Warrant incorporated herein by reference to Exhibit 4.4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8-K of the Company, filed on July 11, 2017 (SEC File No. 001-15911).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Amended and Restated Warrant (issued under First Amendment of Venture Loan and Security Agreement, dated as of August 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2020, by and among Imunon, Inc., Horizon Funding I, LLC, Horizon Funding Trust 2019-1, and Horizon Technology Finance Corporation,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as Collateral Agent), incorporated herein by reference to Exhibit 4.1 to the Current Report on Form 8-K of the Company, filed on September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4, 2020 (SEC File No. 001-15911).</w:t>
              </w:r>
            </w:hyperlink>
          </w:p>
        </w:tc>
        <w:tc>
          <w:tcPr>
            <w:tcW w:w="7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Exchange Warrant, incorporated herein by reference to Exhibit 4.1 to the Current Report on Form 8-K of the Company, filed on</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4"/>
            <w:vMerge w:val="restart"/>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March 13, 2020 (SEC File No. 001-15911).</w:t>
              </w:r>
            </w:hyperlink>
          </w:p>
        </w:tc>
        <w:tc>
          <w:tcPr>
            <w:tcW w:w="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79"/>
              </w:rPr>
            </w:pPr>
            <w:hyperlink r:id="rId88">
              <w:r>
                <w:rPr>
                  <w:rFonts w:ascii="Times New Roman" w:cs="Times New Roman" w:eastAsia="Times New Roman" w:hAnsi="Times New Roman"/>
                  <w:sz w:val="15"/>
                  <w:szCs w:val="15"/>
                  <w:color w:val="0000EE"/>
                  <w:w w:val="79"/>
                </w:rPr>
                <w:t>1</w:t>
              </w:r>
            </w:hyperlink>
          </w:p>
        </w:tc>
        <w:tc>
          <w:tcPr>
            <w:tcW w:w="760" w:type="dxa"/>
            <w:vAlign w:val="bottom"/>
            <w:vMerge w:val="restart"/>
          </w:tcPr>
          <w:p>
            <w:pPr>
              <w:spacing w:after="0"/>
              <w:rPr>
                <w:sz w:val="14"/>
                <w:szCs w:val="14"/>
                <w:color w:val="auto"/>
              </w:rPr>
            </w:pPr>
          </w:p>
        </w:tc>
        <w:tc>
          <w:tcPr>
            <w:tcW w:w="6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gridSpan w:val="2"/>
            <w:vMerge w:val="restart"/>
          </w:tcPr>
          <w:p>
            <w:pPr>
              <w:spacing w:after="0"/>
              <w:rPr>
                <w:sz w:val="14"/>
                <w:szCs w:val="14"/>
                <w:color w:val="auto"/>
              </w:rPr>
            </w:pPr>
          </w:p>
        </w:tc>
        <w:tc>
          <w:tcPr>
            <w:tcW w:w="2640" w:type="dxa"/>
            <w:vAlign w:val="bottom"/>
            <w:gridSpan w:val="4"/>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18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4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2640" w:type="dxa"/>
            <w:vAlign w:val="bottom"/>
            <w:gridSpan w:val="4"/>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Warrant to purchase Shares of Common Stock of Celsion Corporation between Celsion Corporation and EGWU, Inc., dated March 28,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2019, incorporated herein by reference to Exhibit 4.1 to the Quarterly Report on Form 10-Q of the Company for the quarter ended March</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31, 2019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Description of Securities of the Registrant, incorporated herein by reference to Exhibit 4.5 to the Annual Report on Form 10-K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 for the fiscal year ended December 31,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Imunon, Inc. 2007 Stock Incentive Plan, as amended, incorporated herein by reference to Exhibit 10.1 to the Current Report on Form 8-K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 Company, filed on May 16, 2017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Report on Form 10-Q of the Company for the quarter ended September 30, 2017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Imunon, Inc. 2018 Stock Incentive Plan, incorporated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May 15, 2018 (SEC File No. 001-15911).</w:t>
              </w:r>
            </w:hyperlink>
          </w:p>
        </w:tc>
        <w:tc>
          <w:tcPr>
            <w:tcW w:w="71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to the Imunon, Inc. 2018 Stock Incentive Plan, incorporated by reference to Exhibit 10.1 to the Current Report on Form 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K of the Company, filed on May 15, 2019 (SEC File No. 001-15911).</w:t>
              </w:r>
            </w:hyperlink>
          </w:p>
        </w:tc>
        <w:tc>
          <w:tcPr>
            <w:tcW w:w="51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Second Amendment to the Imunon, Inc. 2018 Stock Incentive Plan, incorporated by reference to Exhibit 10.1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8-K of the Company, filed on June 16, 2020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11"/>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Third Amendment to the Celsion Corporation 2018 Stock Incentive Plan, incorporated herein by reference to Exhibit 10.1 to the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Report on Form 8-K of the Company, filed with the Commission on June 10, 2021 (SEC File No. 001-15911).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gridSpan w:val="8"/>
          </w:tcPr>
          <w:p>
            <w:pPr>
              <w:ind w:left="4440"/>
              <w:spacing w:after="0"/>
              <w:rPr>
                <w:sz w:val="20"/>
                <w:szCs w:val="20"/>
                <w:color w:val="auto"/>
              </w:rPr>
            </w:pPr>
            <w:r>
              <w:rPr>
                <w:rFonts w:ascii="Times New Roman" w:cs="Times New Roman" w:eastAsia="Times New Roman" w:hAnsi="Times New Roman"/>
                <w:sz w:val="18"/>
                <w:szCs w:val="18"/>
                <w:color w:val="auto"/>
                <w:w w:val="99"/>
              </w:rPr>
              <w:t>67</w:t>
            </w:r>
          </w:p>
        </w:tc>
        <w:tc>
          <w:tcPr>
            <w:tcW w:w="3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10.7***</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Employment Offer Letter, entered into on June 15, 2010, between the Company and Jeffrey W. Church,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10.1 to the Current Report on Form 8-K of the Company filed on June 18, 2010 (SEC File No. 001-15911).</w:t>
              </w:r>
            </w:hyperlink>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10.8***</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Employment Offer Letter effective as of June 2, 2014, between the Company and Khursheed Anwer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Exhibit 10.27 to the Annual Report of the Company for the year ended December 31, 2014 (SEC File No. 001-15911).</w:t>
              </w:r>
            </w:hyperlink>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10.9***</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Employment Agreement between the Company and Michael H. Tardugno, effective as of July 18, 2022, incorporated herein by reference to</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Exhibit 10.2 to the Current Report on Form 8-K of the Company filed with the Commission on July 19, 2022 (SEC File No. 001-15911).</w:t>
              </w:r>
            </w:hyperlink>
          </w:p>
        </w:tc>
        <w:tc>
          <w:tcPr>
            <w:tcW w:w="280" w:type="dxa"/>
            <w:vAlign w:val="bottom"/>
            <w:gridSpan w:val="2"/>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Agreement between the Company Corporation and Corinne Le Goff, effective as of July 18, 2022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10.1 to the Current Report on Form 8-K of the Company filed with the Commission on July 19, 2022 (SEC File No.</w:t>
              </w:r>
            </w:hyperlink>
          </w:p>
        </w:tc>
      </w:tr>
      <w:tr>
        <w:trPr>
          <w:trHeight w:val="196"/>
        </w:trPr>
        <w:tc>
          <w:tcPr>
            <w:tcW w:w="11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001-15911).</w:t>
              </w:r>
            </w:hyperlink>
          </w:p>
        </w:tc>
        <w:tc>
          <w:tcPr>
            <w:tcW w:w="1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10.11***</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Change in Control Agreement dated as of September 6, 2016, by and between the Company and Michael 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Tardugno,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September 30, 2016 (SEC File No. 001-15911).</w:t>
              </w:r>
            </w:hyperlink>
          </w:p>
        </w:tc>
        <w:tc>
          <w:tcPr>
            <w:tcW w:w="6700" w:type="dxa"/>
            <w:vAlign w:val="bottom"/>
            <w:gridSpan w:val="7"/>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Change in Control Agreement dated as of September 6, 2016, by and between the Company and Jeffrey W. Church,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incorporated herein by reference to Exhibit 10.3 to the Quarterly Report on Form 10-Q of the Company for the quarter ended September 30,</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2016 (SEC File No. 001-15911).</w:t>
              </w:r>
            </w:hyperlink>
          </w:p>
        </w:tc>
        <w:tc>
          <w:tcPr>
            <w:tcW w:w="776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gridSpan w:val="11"/>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Patent License Agreement between the Company and Duke University dated November 10, 1999, incorporated herein by reference to</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Exhibit 10.9 to the Annual Report of the Company for the year ended September 30, 1999 (SEC File No. 001-15911).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License Agreement dated July 18, 2003, between the Company and Duke University, incorporated herein by reference to Exhibit 10.1 to the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Registration Statement on Form S-3 (File No. 333-108318) filed on August 28, 2003 (SEC File No. 001-15911).</w:t>
              </w:r>
            </w:hyperlink>
          </w:p>
        </w:tc>
      </w:tr>
      <w:tr>
        <w:trPr>
          <w:trHeight w:val="20"/>
        </w:trPr>
        <w:tc>
          <w:tcPr>
            <w:tcW w:w="1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Development, Product Supply and Commercialization Agreement, effective December 5, 2008, by and between the Company and Yakult</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Honsha Co., Ltd., incorporated herein by reference to Exhibit 10.15 to the Annual Report of the Company for the year ended December 31,</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2008 (SEC File No. 001-15911).</w:t>
              </w:r>
            </w:hyperlink>
          </w:p>
        </w:tc>
        <w:tc>
          <w:tcPr>
            <w:tcW w:w="776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The 2nd Amendment to The Development, Product Supply and Commercialization Agreement, effective January 7, 2011, by and between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the Company and Yakult Honsha Co., Ltd.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Company filed on January 18, 2011 (SEC File No. 001-15911).</w:t>
              </w:r>
            </w:hyperlink>
          </w:p>
        </w:tc>
      </w:tr>
      <w:tr>
        <w:trPr>
          <w:trHeight w:val="20"/>
        </w:trPr>
        <w:tc>
          <w:tcPr>
            <w:tcW w:w="1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Technology Development Agreement effective as of May 7, 2012, by and between Imunon, Inc. and Zhejiang Hisun Pharmaceutical Co.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Ltd., incorporated herein by reference to Exhibit 10.2 to the Quarterly Report on Form 10-Q of the Company for the quarter ended June 30,</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2012 (SEC File No. 001-15911).</w:t>
              </w:r>
            </w:hyperlink>
          </w:p>
        </w:tc>
        <w:tc>
          <w:tcPr>
            <w:tcW w:w="7760" w:type="dxa"/>
            <w:vAlign w:val="bottom"/>
            <w:gridSpan w:val="8"/>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Technology Development Contract dated as of January 18, 2013, by and between Imunon, Inc. and Zhejiang Hisun Pharmaceutical Co. Ltd.,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herein by reference to Exhibit 10.1 to the Quarterly Report on Form 10-Q of the Company for the quarter ended March 31,</w:t>
              </w:r>
            </w:hyperlink>
          </w:p>
        </w:tc>
      </w:tr>
      <w:tr>
        <w:trPr>
          <w:trHeight w:val="196"/>
        </w:trPr>
        <w:tc>
          <w:tcPr>
            <w:tcW w:w="110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2013 (SEC File No. 001-15911).</w:t>
              </w:r>
            </w:hyperlink>
          </w:p>
        </w:tc>
        <w:tc>
          <w:tcPr>
            <w:tcW w:w="7780" w:type="dxa"/>
            <w:vAlign w:val="bottom"/>
            <w:gridSpan w:val="9"/>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72" w:name="page73"/>
    <w:bookmarkEnd w:id="72"/>
    <w:p>
      <w:pPr>
        <w:jc w:val="both"/>
        <w:ind w:left="860" w:hanging="80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9">
        <w:r>
          <w:rPr>
            <w:rFonts w:ascii="Times New Roman" w:cs="Times New Roman" w:eastAsia="Times New Roman" w:hAnsi="Times New Roman"/>
            <w:sz w:val="18"/>
            <w:szCs w:val="18"/>
            <w:u w:val="single" w:color="auto"/>
            <w:color w:val="0000EE"/>
          </w:rPr>
          <w:t>Lease Agreement, executed July 21, 2011, by and between Imunon, Inc. and Brandywine Operating Partnership, L.P., incorporated herein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by reference to Exhibit 10.1 to the Current Report on Form 8-K of the Company filed on July 25, 2011 (SEC File No. 001-15911).</w:t>
        </w:r>
      </w:hyperlink>
    </w:p>
    <w:p>
      <w:pPr>
        <w:spacing w:after="0" w:line="162" w:lineRule="exact"/>
        <w:rPr>
          <w:sz w:val="20"/>
          <w:szCs w:val="20"/>
          <w:color w:val="auto"/>
        </w:rPr>
      </w:pPr>
    </w:p>
    <w:p>
      <w:pPr>
        <w:jc w:val="both"/>
        <w:ind w:left="860" w:hanging="80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0">
        <w:r>
          <w:rPr>
            <w:rFonts w:ascii="Times New Roman" w:cs="Times New Roman" w:eastAsia="Times New Roman" w:hAnsi="Times New Roman"/>
            <w:sz w:val="18"/>
            <w:szCs w:val="18"/>
            <w:u w:val="single" w:color="auto"/>
            <w:color w:val="0000EE"/>
          </w:rPr>
          <w:t>First Amendment to Lease Agreement, executed April 20, 2017, by and between Imunon, Inc. and Lenox Drive Office Park, LLC,</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incorporated herein by reference to Exhibit 10.1 to the Current Report on Form 10-Q of the Company filed on November 14, 2017 (SEC</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860" w:hanging="80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11">
        <w:r>
          <w:rPr>
            <w:rFonts w:ascii="Times New Roman" w:cs="Times New Roman" w:eastAsia="Times New Roman" w:hAnsi="Times New Roman"/>
            <w:sz w:val="18"/>
            <w:szCs w:val="18"/>
            <w:u w:val="single" w:color="auto"/>
            <w:color w:val="0000EE"/>
          </w:rPr>
          <w:t>Second Amendment to Lease Agreement, dated January 9, 2019, by and between Celsion Corporation and Lenox Drive Office Park, LLC,</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successor in interest to Brandywine Operating Partnership, L.P., incorporated herein by reference to Exhibit 10-Q to the Current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10-Q of the Company for the quarter ended March 31, 2019 (SEC 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860" w:hanging="80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12">
        <w:r>
          <w:rPr>
            <w:rFonts w:ascii="Times New Roman" w:cs="Times New Roman" w:eastAsia="Times New Roman" w:hAnsi="Times New Roman"/>
            <w:sz w:val="18"/>
            <w:szCs w:val="18"/>
            <w:u w:val="single" w:color="auto"/>
            <w:color w:val="0000EE"/>
          </w:rPr>
          <w:t>Lease Agreement dated January 15, 2018, by and between Imunon, Inc. and HudsonAlpha Institute of Biotechnology for office and lab</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space located in Huntsville, Alabama incorporated herein by reference to Exhibit 10.1 to the Quarterly Report on Form 10-Q of the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Company for the quarter ended March 31, 2018 (SEC 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860" w:hanging="80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3">
        <w:r>
          <w:rPr>
            <w:rFonts w:ascii="Times New Roman" w:cs="Times New Roman" w:eastAsia="Times New Roman" w:hAnsi="Times New Roman"/>
            <w:sz w:val="18"/>
            <w:szCs w:val="18"/>
            <w:u w:val="single" w:color="auto"/>
            <w:color w:val="0000EE"/>
          </w:rPr>
          <w:t>Registration Rights Agreement dated as of June 20, 2014, by and between Celsion Corporation and Egen, Inc., incorporated herein by</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reference to Exhibit 4.1 to the Quarterly Report on Form 10-Q of the Company for the quarter ended June 30, 2014 (SEC File No. 001-</w:t>
        </w:r>
      </w:hyperlink>
      <w:hyperlink r:id="rId113">
        <w:r>
          <w:rPr>
            <w:rFonts w:ascii="Times New Roman" w:cs="Times New Roman" w:eastAsia="Times New Roman" w:hAnsi="Times New Roman"/>
            <w:sz w:val="18"/>
            <w:szCs w:val="18"/>
            <w:u w:val="single" w:color="auto"/>
            <w:color w:val="0000EE"/>
          </w:rPr>
          <w:t>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880" w:hanging="823"/>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4">
        <w:r>
          <w:rPr>
            <w:rFonts w:ascii="Times New Roman" w:cs="Times New Roman" w:eastAsia="Times New Roman" w:hAnsi="Times New Roman"/>
            <w:sz w:val="18"/>
            <w:szCs w:val="18"/>
            <w:u w:val="single" w:color="auto"/>
            <w:color w:val="0000EE"/>
          </w:rPr>
          <w:t>Form of Securities Purchase Agreement incorporated herein by reference to Exhibit 10.33 to the Registration Statement on Form S-1 of the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Company filed on February 13, 2017 (SEC File No. 001-15911).</w:t>
        </w:r>
      </w:hyperlink>
    </w:p>
    <w:p>
      <w:pPr>
        <w:spacing w:after="0" w:line="1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u w:val="single" w:color="auto"/>
          <w:color w:val="0000EE"/>
        </w:rPr>
        <w:t>Loan Facility Agreement, dated as of June 18, 2021, by and between the Company and Silicon Valley Bank.</w:t>
      </w:r>
    </w:p>
    <w:p>
      <w:pPr>
        <w:spacing w:after="0" w:line="225" w:lineRule="exact"/>
        <w:rPr>
          <w:sz w:val="20"/>
          <w:szCs w:val="20"/>
          <w:color w:val="auto"/>
        </w:rPr>
      </w:pPr>
    </w:p>
    <w:p>
      <w:pPr>
        <w:jc w:val="both"/>
        <w:ind w:left="880" w:hanging="823"/>
        <w:spacing w:after="0" w:line="261"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5">
        <w:r>
          <w:rPr>
            <w:rFonts w:ascii="Times New Roman" w:cs="Times New Roman" w:eastAsia="Times New Roman" w:hAnsi="Times New Roman"/>
            <w:sz w:val="18"/>
            <w:szCs w:val="18"/>
            <w:u w:val="single" w:color="auto"/>
            <w:color w:val="0000EE"/>
          </w:rPr>
          <w:t>Settlement Agreement and Release, by and between the plaintiff to the shareholder action captioned O’Connor v. Braun, et al., N.J. Super.,</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Dkt. No. MERC-00068-19, William J. O’Connor, derivatively on behalf of Imunon, Inc. and individually on behalf of himself and all other</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similarly situated stockholders of Imunon, Inc. and defendants, incorporated herein by reference to Exhibit 10.2 to the Current Report 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Form 8-K of the Company, filed on June 16, 2020 (SEC File No. 001-15911).</w:t>
        </w:r>
      </w:hyperlink>
    </w:p>
    <w:p>
      <w:pPr>
        <w:spacing w:after="0" w:line="180" w:lineRule="exact"/>
        <w:rPr>
          <w:rFonts w:ascii="Times New Roman" w:cs="Times New Roman" w:eastAsia="Times New Roman" w:hAnsi="Times New Roman"/>
          <w:sz w:val="18"/>
          <w:szCs w:val="18"/>
          <w:u w:val="single" w:color="auto"/>
          <w:color w:val="0000EE"/>
        </w:rPr>
      </w:pPr>
    </w:p>
    <w:p>
      <w:pPr>
        <w:ind w:left="60"/>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6">
        <w:r>
          <w:rPr>
            <w:rFonts w:ascii="Times New Roman" w:cs="Times New Roman" w:eastAsia="Times New Roman" w:hAnsi="Times New Roman"/>
            <w:sz w:val="18"/>
            <w:szCs w:val="18"/>
            <w:u w:val="single" w:color="auto"/>
            <w:color w:val="0000EE"/>
          </w:rPr>
          <w:t>Form of Exercise Agreement, incorporated by reference to Exhibit 10.1 to the Current Report on Form 8-K of the Company, filed on March</w:t>
        </w:r>
      </w:hyperlink>
    </w:p>
    <w:p>
      <w:pPr>
        <w:spacing w:after="0" w:line="27" w:lineRule="exact"/>
        <w:rPr>
          <w:rFonts w:ascii="Times New Roman" w:cs="Times New Roman" w:eastAsia="Times New Roman" w:hAnsi="Times New Roman"/>
          <w:sz w:val="18"/>
          <w:szCs w:val="18"/>
          <w:u w:val="single" w:color="auto"/>
          <w:color w:val="0000EE"/>
        </w:rPr>
      </w:pPr>
    </w:p>
    <w:p>
      <w:pPr>
        <w:ind w:left="880"/>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13, 2020 (SEC File No. 001-15911).</w:t>
        </w:r>
      </w:hyperlink>
    </w:p>
    <w:p>
      <w:pPr>
        <w:spacing w:after="0" w:line="207" w:lineRule="exact"/>
        <w:rPr>
          <w:rFonts w:ascii="Times New Roman" w:cs="Times New Roman" w:eastAsia="Times New Roman" w:hAnsi="Times New Roman"/>
          <w:sz w:val="18"/>
          <w:szCs w:val="18"/>
          <w:u w:val="single" w:color="auto"/>
          <w:color w:val="0000EE"/>
        </w:rPr>
      </w:pPr>
    </w:p>
    <w:p>
      <w:pPr>
        <w:jc w:val="both"/>
        <w:ind w:left="880" w:hanging="823"/>
        <w:spacing w:after="0" w:line="266"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7">
        <w:r>
          <w:rPr>
            <w:rFonts w:ascii="Times New Roman" w:cs="Times New Roman" w:eastAsia="Times New Roman" w:hAnsi="Times New Roman"/>
            <w:sz w:val="18"/>
            <w:szCs w:val="18"/>
            <w:u w:val="single" w:color="auto"/>
            <w:color w:val="0000EE"/>
          </w:rPr>
          <w:t>At the Market Offering Agreement, dated May 25, 2022 by and between Celsion Corporation and H.C. Wainwright &amp; Co. LLC,</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incorporated by reference to Exhibit 10.1 to the Current Report on Form 8-K of the Company, filed on May 25, 2022, (SEC File NO. 001-</w:t>
        </w:r>
      </w:hyperlink>
      <w:hyperlink r:id="rId117">
        <w:r>
          <w:rPr>
            <w:rFonts w:ascii="Times New Roman" w:cs="Times New Roman" w:eastAsia="Times New Roman" w:hAnsi="Times New Roman"/>
            <w:sz w:val="18"/>
            <w:szCs w:val="18"/>
            <w:u w:val="single" w:color="auto"/>
            <w:color w:val="0000EE"/>
          </w:rPr>
          <w:t>15911).</w:t>
        </w:r>
      </w:hyperlink>
    </w:p>
    <w:p>
      <w:pPr>
        <w:spacing w:after="0" w:line="176" w:lineRule="exact"/>
        <w:rPr>
          <w:rFonts w:ascii="Times New Roman" w:cs="Times New Roman" w:eastAsia="Times New Roman" w:hAnsi="Times New Roman"/>
          <w:sz w:val="18"/>
          <w:szCs w:val="18"/>
          <w:u w:val="single" w:color="auto"/>
          <w:color w:val="0000EE"/>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Imunon, Inc.</w:t>
      </w:r>
    </w:p>
    <w:p>
      <w:pPr>
        <w:spacing w:after="0" w:line="225" w:lineRule="exact"/>
        <w:rPr>
          <w:rFonts w:ascii="Times New Roman" w:cs="Times New Roman" w:eastAsia="Times New Roman" w:hAnsi="Times New Roman"/>
          <w:sz w:val="18"/>
          <w:szCs w:val="18"/>
          <w:u w:val="single" w:color="auto"/>
          <w:color w:val="0000EE"/>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WithumSmith+Brown, PC, independent registered public accounting firm for the Company.</w:t>
      </w:r>
    </w:p>
    <w:p>
      <w:pPr>
        <w:spacing w:after="0" w:line="225" w:lineRule="exact"/>
        <w:rPr>
          <w:rFonts w:ascii="Times New Roman" w:cs="Times New Roman" w:eastAsia="Times New Roman" w:hAnsi="Times New Roman"/>
          <w:sz w:val="18"/>
          <w:szCs w:val="18"/>
          <w:u w:val="single" w:color="auto"/>
          <w:color w:val="0000EE"/>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p>
    <w:p>
      <w:pPr>
        <w:spacing w:after="0" w:line="225" w:lineRule="exact"/>
        <w:rPr>
          <w:rFonts w:ascii="Times New Roman" w:cs="Times New Roman" w:eastAsia="Times New Roman" w:hAnsi="Times New Roman"/>
          <w:sz w:val="18"/>
          <w:szCs w:val="18"/>
          <w:u w:val="single" w:color="auto"/>
          <w:color w:val="0000EE"/>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225" w:lineRule="exact"/>
        <w:rPr>
          <w:rFonts w:ascii="Times New Roman" w:cs="Times New Roman" w:eastAsia="Times New Roman" w:hAnsi="Times New Roman"/>
          <w:sz w:val="18"/>
          <w:szCs w:val="18"/>
          <w:u w:val="single" w:color="auto"/>
          <w:color w:val="0000EE"/>
        </w:rPr>
      </w:pPr>
    </w:p>
    <w:p>
      <w:pPr>
        <w:jc w:val="center"/>
        <w:ind w:right="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60" w:top="661" w:right="339" w:bottom="1440" w:gutter="0" w:footer="0" w:header="0"/>
        </w:sectPr>
      </w:pPr>
    </w:p>
    <w:bookmarkStart w:id="73" w:name="page74"/>
    <w:bookmarkEnd w:id="73"/>
    <w:tbl>
      <w:tblPr>
        <w:tblLayout w:type="fixed"/>
        <w:tblInd w:w="160" w:type="dxa"/>
        <w:tblCellMar>
          <w:top w:w="0" w:type="dxa"/>
          <w:left w:w="0" w:type="dxa"/>
          <w:bottom w:w="0" w:type="dxa"/>
          <w:right w:w="0" w:type="dxa"/>
        </w:tblCellMar>
      </w:tblPr>
      <w:tr>
        <w:trPr>
          <w:trHeight w:val="20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32.1^</w:t>
            </w:r>
          </w:p>
        </w:tc>
        <w:tc>
          <w:tcPr>
            <w:tcW w:w="10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tcPr>
          <w:p>
            <w:pPr>
              <w:spacing w:after="0"/>
              <w:rPr>
                <w:sz w:val="17"/>
                <w:szCs w:val="17"/>
                <w:color w:val="auto"/>
              </w:rPr>
            </w:pPr>
          </w:p>
        </w:tc>
      </w:tr>
      <w:tr>
        <w:trPr>
          <w:trHeight w:val="41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tcPr>
          <w:p>
            <w:pPr>
              <w:spacing w:after="0"/>
              <w:rPr>
                <w:sz w:val="17"/>
                <w:szCs w:val="17"/>
                <w:color w:val="auto"/>
              </w:rPr>
            </w:pPr>
          </w:p>
        </w:tc>
      </w:tr>
      <w:tr>
        <w:trPr>
          <w:trHeight w:val="453"/>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104</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for the fiscal year ended December 31, 2022, formatted in XBRL (Extensible</w:t>
            </w:r>
          </w:p>
        </w:tc>
      </w:tr>
      <w:tr>
        <w:trPr>
          <w:trHeight w:val="234"/>
        </w:trPr>
        <w:tc>
          <w:tcPr>
            <w:tcW w:w="96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Reporting Language): (i) the audited Consolidated Balance Sheets, (ii) the audited Consolidated Statements of Operations, (iii) the</w:t>
            </w:r>
          </w:p>
        </w:tc>
      </w:tr>
    </w:tbl>
    <w:p>
      <w:pPr>
        <w:ind w:left="1120"/>
        <w:spacing w:after="0" w:line="260" w:lineRule="auto"/>
        <w:rPr>
          <w:sz w:val="20"/>
          <w:szCs w:val="20"/>
          <w:color w:val="auto"/>
        </w:rPr>
      </w:pPr>
      <w:r>
        <w:rPr>
          <w:rFonts w:ascii="Times New Roman" w:cs="Times New Roman" w:eastAsia="Times New Roman" w:hAnsi="Times New Roman"/>
          <w:sz w:val="18"/>
          <w:szCs w:val="18"/>
          <w:color w:val="auto"/>
        </w:rPr>
        <w:t>audited Consolidated Statements of Comprehensive Loss, (iv) the audited Consolidated Statements of Cash Flows, (v) the audited Consolidated Statements of Changes in Stockholders’ Equity and (vi) Notes to Financial Statements.</w:t>
      </w:r>
    </w:p>
    <w:p>
      <w:pPr>
        <w:spacing w:after="0" w:line="181" w:lineRule="exact"/>
        <w:rPr>
          <w:sz w:val="20"/>
          <w:szCs w:val="20"/>
          <w:color w:val="auto"/>
        </w:rPr>
      </w:pPr>
    </w:p>
    <w:p>
      <w:pPr>
        <w:ind w:left="1120" w:hanging="671"/>
        <w:spacing w:after="0" w:line="261"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1120" w:hanging="677"/>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20" w:hanging="668"/>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20" w:hanging="716"/>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9" w:lineRule="exact"/>
        <w:rPr>
          <w:sz w:val="20"/>
          <w:szCs w:val="20"/>
          <w:color w:val="auto"/>
        </w:rPr>
      </w:pPr>
    </w:p>
    <w:p>
      <w:pPr>
        <w:ind w:left="1120" w:hanging="761"/>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IMUNON, INC.</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30, 2023</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Corrine Le Goff</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Corrine Le Goff</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30, 2023</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16"/>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406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CORRINE LE GOFF</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(Corrine Le Goff)</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Financial Officer</w:t>
            </w: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A. BRAGG</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Controller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(Kimberly A. Bragg)</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AUGUSTINE CHOW</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(Augustine Chow,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FREDERICK J. FRITZ</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E. DENTZER</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DONALD BRAUN</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PELLIZZARI</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Christine A. Pellizzari)</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w:t>
            </w: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2023</w:t>
            </w: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 Stacy R Lindborg)</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9"/>
        </w:trPr>
        <w:tc>
          <w:tcPr>
            <w:tcW w:w="40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Imunon Inc. (the “Company”) as of December 31, 2022 and 2021, the related consolidated statements of operations, comprehensive loss, changes in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 of In-process research and development (IPR&amp;D)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Matter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6, the Company’s in-process research and development asset (“IPR&amp;D) is tested for impairment on December 31 of each year. Management tests indefinite-lived intangible assets for impairment between annual tests if an event occurs or circumstances change that would indicate the carrying amount may be impaired. An impairment loss is recognized when the asset’s carrying value exceeds its fair value. The Company conducted a valuation analysis of its IPR&amp;D for the ovarian cancer indication as of December 31, 2022. Based on the assessment performed as of December 31, 2022, management determined that the fair value of the IPR&amp;D asset did not exceed its carrying value and based on their quantitative analysis, management determined that the asset was fully impaired. The Company uses the market capitalization to estimate the fair value of the reporting unit, which is based on the Company’s year-end stock price and shares of stock that are freely tradeable. As further discussed in Note 6, during the year ended December 31, 2022, the Company recorded a $13.4 million IPR&amp;D impairment charge.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IPR&amp;D involved subjective auditor judgment and effort in performing procedures relating to management’s significant assumptions. In addition, the audit involved the use of professionals with specialized skill and knowledge in performing these procedures and evaluating the audit evidence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the Critical Matter Was Addressed in the Audit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management’s process for developing the fair value estimate. This included testing the completeness, accuracy, and relevance of underlying data used. Evaluating management’s assumptions included assessing the reasonableness of key assumptions by considering the historical results of peer companies, consistency with third-party industry data, and whether the assumptions were consistent with evidence obtained in other areas of the audit. Professionals with specialized skill and knowledge were used to assist in evaluating the appropriateness of the multi-period excess earnings approach.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Valuation of earn-out milestone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13 to the financial statements, the Company derecognized the $5.4 million Earn-out milestone liability during 2022. The liability represented the value of additional amounts that management believed may be paid related to the acquisition of EGEN, Inc upon achievement of certain milestones.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measurement of the Earn-out milestone liability as a critical audit matter because auditing the Company’s derecognition of the liability involved challenging and complex judgements regarding clinical data to support that milestones were not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the Critical Matter Was Addressed in the Audit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test the Earn-out milestone liability, our audit procedures included, among others, inspecting the terms of the executed agreement and testing the data utilized by management to make the determination discussed above. We evaluated the key judgments considering external data sources and contractual terms. Our procedures included evaluating the data sources used by management in determining their judgments and, where necessary, included an evaluation of available information that either corroborated or contradicted management’s conclusions.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11,492,841</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19,586,272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21,254,485</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128,932</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2,778,433</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2,447,413</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37,154,691</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51,945,624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548,301</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477,011</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4,500,000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1,567,026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1,383,446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155,876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690,995</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183,489</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6,272,902</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21,624,164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43,975,894</w:t>
            </w:r>
          </w:p>
        </w:tc>
        <w:tc>
          <w:tcPr>
            <w:tcW w:w="320" w:type="dxa"/>
            <w:vAlign w:val="bottom"/>
          </w:tcPr>
          <w:p>
            <w:pPr>
              <w:spacing w:after="0"/>
              <w:rPr>
                <w:sz w:val="21"/>
                <w:szCs w:val="21"/>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74,046,799</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3,586,623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2,547,251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4,794,936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3,173,537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1,424,774</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230,749</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548,870</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10,037,082</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6,769,658</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4,610,946</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5,854,461</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6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230,749</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14,648,028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18,250,868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 outstanding</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 and 2021)</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7,436,219 and 5,770,538 shares</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at December 31, 2022 and 2021, respectively, and 7,436,197 and 5,770,516 shares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74,362</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57,705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397,980,023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388,600,979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26,494</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(368,667,825)</w:t>
            </w:r>
          </w:p>
        </w:tc>
        <w:tc>
          <w:tcPr>
            <w:tcW w:w="5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(332,769,591)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29,413,054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55,881,119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December 31, 2022 and 2021)</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(85,188)</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29,327,866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55,795,931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43,975,894</w:t>
            </w:r>
          </w:p>
        </w:tc>
        <w:tc>
          <w:tcPr>
            <w:tcW w:w="320" w:type="dxa"/>
            <w:vAlign w:val="bottom"/>
          </w:tcPr>
          <w:p>
            <w:pPr>
              <w:spacing w:after="0"/>
              <w:rPr>
                <w:sz w:val="21"/>
                <w:szCs w:val="21"/>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74,046,799</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5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Technology development and licensing revenue</w:t>
            </w:r>
          </w:p>
        </w:tc>
        <w:tc>
          <w:tcPr>
            <w:tcW w:w="2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11,733,666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10,619,287</w:t>
            </w:r>
          </w:p>
        </w:tc>
      </w:tr>
      <w:tr>
        <w:trPr>
          <w:trHeight w:val="24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13,687,899</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10,887,903</w:t>
            </w:r>
          </w:p>
        </w:tc>
      </w:tr>
      <w:tr>
        <w:trPr>
          <w:trHeight w:val="210"/>
        </w:trPr>
        <w:tc>
          <w:tcPr>
            <w:tcW w:w="52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25,421,565</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21,507,190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(24,921,565)</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(21,007,190)</w:t>
            </w:r>
          </w:p>
        </w:tc>
      </w:tr>
      <w:tr>
        <w:trPr>
          <w:trHeight w:val="216"/>
        </w:trPr>
        <w:tc>
          <w:tcPr>
            <w:tcW w:w="526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change in earn-out milestone liability</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5,396,000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1,622,000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in-process research and development</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(13,366,234)</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(1,976,101)</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453,356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10,996</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(5,028,618)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(569,881)</w:t>
            </w: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1,801</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1,899</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(12,543,695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(37,465,260)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(22,152,696)</w:t>
            </w:r>
          </w:p>
        </w:tc>
      </w:tr>
      <w:tr>
        <w:trPr>
          <w:trHeight w:val="216"/>
        </w:trPr>
        <w:tc>
          <w:tcPr>
            <w:tcW w:w="5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1,567,026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1,383,446</w:t>
            </w:r>
          </w:p>
        </w:tc>
      </w:tr>
      <w:tr>
        <w:trPr>
          <w:trHeight w:val="216"/>
        </w:trPr>
        <w:tc>
          <w:tcPr>
            <w:tcW w:w="5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(35,898,234)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(20,769,250)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(5.03)</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basic and diluted</w:t>
            </w:r>
          </w:p>
        </w:tc>
        <w:tc>
          <w:tcPr>
            <w:tcW w:w="2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7,142,970</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5,426,953</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04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2300"/>
              <w:spacing w:after="0"/>
              <w:rPr>
                <w:sz w:val="20"/>
                <w:szCs w:val="20"/>
                <w:color w:val="auto"/>
              </w:rPr>
            </w:pPr>
            <w:r>
              <w:rPr>
                <w:rFonts w:ascii="Times New Roman" w:cs="Times New Roman" w:eastAsia="Times New Roman" w:hAnsi="Times New Roman"/>
                <w:sz w:val="18"/>
                <w:szCs w:val="18"/>
                <w:color w:val="auto"/>
              </w:rPr>
              <w:t>F-5</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5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(35,898,234)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(20,769,250)</w:t>
            </w:r>
          </w:p>
        </w:tc>
      </w:tr>
      <w:tr>
        <w:trPr>
          <w:trHeight w:val="216"/>
        </w:trPr>
        <w:tc>
          <w:tcPr>
            <w:tcW w:w="55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investment securities recognized in investment income, net</w:t>
            </w: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43,508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w:t>
            </w:r>
          </w:p>
        </w:tc>
      </w:tr>
      <w:tr>
        <w:trPr>
          <w:trHeight w:val="24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investment securities</w:t>
            </w:r>
          </w:p>
        </w:tc>
        <w:tc>
          <w:tcPr>
            <w:tcW w:w="19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0"/>
        </w:trPr>
        <w:tc>
          <w:tcPr>
            <w:tcW w:w="5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net</w:t>
            </w:r>
          </w:p>
        </w:tc>
        <w:tc>
          <w:tcPr>
            <w:tcW w:w="194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26,494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(35,871,740)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(20,761,276)</w:t>
            </w:r>
          </w:p>
        </w:tc>
      </w:tr>
      <w:tr>
        <w:trPr>
          <w:trHeight w:val="20"/>
        </w:trPr>
        <w:tc>
          <w:tcPr>
            <w:tcW w:w="7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4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5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300"/>
              <w:spacing w:after="0"/>
              <w:rPr>
                <w:sz w:val="20"/>
                <w:szCs w:val="20"/>
                <w:color w:val="auto"/>
              </w:rPr>
            </w:pPr>
            <w:r>
              <w:rPr>
                <w:rFonts w:ascii="Times New Roman" w:cs="Times New Roman" w:eastAsia="Times New Roman" w:hAnsi="Times New Roman"/>
                <w:sz w:val="18"/>
                <w:szCs w:val="18"/>
                <w:color w:val="auto"/>
                <w:w w:val="87"/>
              </w:rPr>
              <w:t>F-6</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(35,898,234)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(20,769,250)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731,629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702,918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(5,396,000)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2,673,034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3,759,737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income tax asset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462,377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in-process research and development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13,366,234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1,976,101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 payable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181,259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237,258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(20,088)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(514,600)</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(786,718)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133,489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1,039,372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302,404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1,072,529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247,142</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(23,131,376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(16,223,603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 in debt securities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(48,191,922)</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(53,811,069)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and maturity of investment in debt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56,775,000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24,000,000</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(267,800)</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(311,613)</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8,315,278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(30,122,682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redeemable convertible preferred stock offering</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28,500,000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upon redemption of redeemable convertible preferred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(28,500,000)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equity, net of issuance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6,722,667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52,688,946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1,508,666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5,756,630</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notes payable including end-of-term fees</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(5,190,587)</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6,722,667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54,768,380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cash equivalents and restricted cash</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(8,093,431)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8,422,095</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25,586,272</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17,164,177</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25,586,272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532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(4,847,359)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(357,277)</w:t>
            </w:r>
          </w:p>
        </w:tc>
      </w:tr>
      <w:tr>
        <w:trPr>
          <w:trHeight w:val="197"/>
        </w:trPr>
        <w:tc>
          <w:tcPr>
            <w:tcW w:w="53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lease payments</w:t>
            </w:r>
          </w:p>
        </w:tc>
        <w:tc>
          <w:tcPr>
            <w:tcW w:w="2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601,495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568,269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gains, net, on investment in debt securities</w:t>
            </w:r>
          </w:p>
        </w:tc>
        <w:tc>
          <w:tcPr>
            <w:tcW w:w="2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26,494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7,974</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04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2300"/>
              <w:spacing w:after="0"/>
              <w:rPr>
                <w:sz w:val="20"/>
                <w:szCs w:val="20"/>
                <w:color w:val="auto"/>
              </w:rPr>
            </w:pPr>
            <w:r>
              <w:rPr>
                <w:rFonts w:ascii="Times New Roman" w:cs="Times New Roman" w:eastAsia="Times New Roman" w:hAnsi="Times New Roman"/>
                <w:sz w:val="18"/>
                <w:szCs w:val="18"/>
                <w:color w:val="auto"/>
              </w:rPr>
              <w:t>F-8</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860" w:type="dxa"/>
            <w:vAlign w:val="bottom"/>
            <w:gridSpan w:val="6"/>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Series A &amp; B</w:t>
            </w:r>
          </w:p>
        </w:tc>
        <w:tc>
          <w:tcPr>
            <w:tcW w:w="1640" w:type="dxa"/>
            <w:vAlign w:val="bottom"/>
            <w:gridSpan w:val="5"/>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5"/>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Compr.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18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5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5,770,516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57,705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388,600,979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(85,188)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(7,974)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(332,769,591)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55,795,931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(35,898,234)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(35,898,234)</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reverse stock split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preferred stock upon</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28,500,000</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w:t>
            </w: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3"/>
                <w:szCs w:val="13"/>
                <w:color w:val="auto"/>
              </w:rPr>
              <w:t>(28,500,000</w:t>
            </w:r>
            <w:r>
              <w:rPr>
                <w:rFonts w:ascii="Times New Roman" w:cs="Times New Roman" w:eastAsia="Times New Roman" w:hAnsi="Times New Roman"/>
                <w:sz w:val="25"/>
                <w:szCs w:val="25"/>
                <w:color w:val="auto"/>
                <w:vertAlign w:val="subscript"/>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Sale of equity through equity</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1,664,349</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16,644</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6,706,010</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6,722,654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facilities</w:t>
            </w: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options</w:t>
            </w: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and unrealized gains and</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34,468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losses, net, on investment securities</w:t>
            </w: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2,673,034</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7,436,219</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74,362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397,980,023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(85,188</w:t>
            </w:r>
          </w:p>
        </w:tc>
        <w:tc>
          <w:tcPr>
            <w:tcW w:w="120" w:type="dxa"/>
            <w:vAlign w:val="bottom"/>
            <w:vMerge w:val="continue"/>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26,494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(368,667,825)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29,327,866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860" w:type="dxa"/>
            <w:vAlign w:val="bottom"/>
            <w:gridSpan w:val="5"/>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92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7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18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Compr.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2,713,402</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27,134</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330,669,476</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(85,188)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(312,000,341)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18,611,081</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(20,769,250)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(20,769,250)</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Sale of equity through equity financing</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2,975,503</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29,755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52,659,191</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52,688,946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facilities</w:t>
            </w:r>
          </w:p>
        </w:tc>
        <w:tc>
          <w:tcPr>
            <w:tcW w:w="92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4,720</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92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pursuant to warrant exercises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81,111</w:t>
            </w:r>
          </w:p>
        </w:tc>
        <w:tc>
          <w:tcPr>
            <w:tcW w:w="2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1,507,855</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and unrealized gains and losses, net,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(7,974)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(7,974)</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 investment securities</w:t>
            </w:r>
          </w:p>
        </w:tc>
        <w:tc>
          <w:tcPr>
            <w:tcW w:w="920" w:type="dxa"/>
            <w:vAlign w:val="bottom"/>
            <w:gridSpan w:val="2"/>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3,759,737</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3,759,737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5,770,516</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57,705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388,600,979</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(85,188)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3"/>
                <w:szCs w:val="13"/>
                <w:b w:val="1"/>
                <w:bCs w:val="1"/>
                <w:color w:val="auto"/>
              </w:rPr>
              <w:t>(7,974</w:t>
            </w:r>
            <w:r>
              <w:rPr>
                <w:rFonts w:ascii="Times New Roman" w:cs="Times New Roman" w:eastAsia="Times New Roman" w:hAnsi="Times New Roman"/>
                <w:sz w:val="25"/>
                <w:szCs w:val="25"/>
                <w:b w:val="1"/>
                <w:bCs w:val="1"/>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(332,769,591)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55,795,931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(“Imunon” or the “Company”), reflecting the evolution of the Company’s business focus and its commitment to developing cutting-edge immunotherapies and next-generation vaccines to treat cancer and infectious diseases. The Company’s common stock will continue to trade on the Nasdaq Stock Market under the new ticker symbol “IMNN” effective as of the opening of trading on September 21, 2022. The Company filed an amendment to its Articles of Incorporation to effect the new corporate name.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TheraPlas® platform for the development of immunotherapies and other anti-cancer nucleic acid-based therapies, and PLACCINE platform for the development of nucleic acid vaccines for infectious diseases and cancer.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The Company will continue to leverage these platforms and to advance the technological frontier of plasmid DNA to better serve patients with difficult to treat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of Imunon have been prepared in accordance with accounting principles generally accepted in the United States of America (“GAAP”) and include the accounts of the Company, CLSN Laboratories, Inc. and Imunon GmbH. All significant intercompany balances and transactions have been eliminated in consolidation. The preparation of the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and conditions arising subsequent to the most recent balance sheet date through the date of the issuance of these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earn-out milestone liabilities, estimates for contingent liabilities, if any, and accounting for impairment of in-process research and development assets and goodwill evaluation. Management believes its estimates to be reasonable under the circumstances. Actual results could differ significantly from those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sole revenue stream is related to the Hisun agreement described in Note 18. There were no accounts receivable as of December 31, 2022. Contract liabilities from the Hisun agreement amounted to $0.5 million as of December 31, 2021. Contract liabilities values represent the value of cash received before the services were provided.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investments purchased with an original maturity of three months or less. A portion of these funds are not covered by FDIC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investment securities approximate their respective fair values. Management believes that the carrying amounts of the Company’s investment securities, including cash and cash equivalents and accounts payable approximate fair value due to the short-term nature of those instruments. Short-term investments are recorded at their estimated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classifies its investments in debt securities with readily determinable fair values as investments available-for-sale in accordance with Accounting Standards Codification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$197,000 and $130,000 for the years ended December 31, 2022 and 2021,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2022 or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real property security deposits and other deposits which are contractually required and of a long-term nature.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the Company acquired certain assets of EGEN, Inc. As more fully described in Note 6,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or Disposal of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 See Note 5 for information on impairment losses of its 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process research and development.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establishes standards for the reporting and display of comprehensive income (loss) and its components in the Company’s consolidated financial statements. The objective of ASC </w:t>
      </w:r>
      <w:r>
        <w:rPr>
          <w:rFonts w:ascii="Times New Roman" w:cs="Times New Roman" w:eastAsia="Times New Roman" w:hAnsi="Times New Roman"/>
          <w:sz w:val="18"/>
          <w:szCs w:val="18"/>
          <w:i w:val="1"/>
          <w:iCs w:val="1"/>
          <w:color w:val="auto"/>
        </w:rPr>
        <w:t>220</w:t>
      </w:r>
      <w:r>
        <w:rPr>
          <w:rFonts w:ascii="Times New Roman" w:cs="Times New Roman" w:eastAsia="Times New Roman" w:hAnsi="Times New Roman"/>
          <w:sz w:val="18"/>
          <w:szCs w:val="18"/>
          <w:color w:val="auto"/>
        </w:rPr>
        <w:t xml:space="preserve"> is to report a measure of comprehensive income (loss) of all changes in equity of an enterprise that result from transactions and other economic events in a period other than transactions with owners. Comprehensive gains (losses) result from changes in unrealized gains and losses from investment in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the total number of shares of common stock issuable upon exercise of warrants and equity awards is 988,389 and 618,800, respectively. For the years ended December 31, 2022 and 2021,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As more fully discussed in Note 10, on September 19, 2022, the Company received approval from the New Jersey Economic Development Authority to sell $1.6 million of its New Jersey net operating losses (“NOLs”), recognizing a tax benefit for the year ended December 31, 2022 for the net proceeds (approximately $1.6 million) by reducing the net operating loss valuation allowance. As more fully discussed in Note 10, on October 31, 2022, the Company was notified by the New Jersey Economic Development Authority that its application was approved and the Company entered into an agreement to sell this NOL. On January 10, 2023, the Company received approximately $1.6 million upon completion of the sale of the 2022 NOLs. During 2021, the Company received approval to sell $1.5 million of its New Jersey NOLs, receiving net proceeds of approximately $1.4 million. As part of the Technology Business Tax Certificate Program sponsored by The New Jersey Economic Development Authority, emerging biotechnology companies with unused NOLs and unused research and development credits are allowed to sell these benefits to other New Jersey-based companies. During 2021, the New Jersey State Legislature increased the maximum lifetime benefit per company from $15 million to $20 million, which will allow the Company to participate in this innovative funding program in future years for up to an additional $1.9 million in net operating losses under this maximum lifetime benefit (see Note 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simplifies various aspects of accounting for share-based payments. The areas for simplification involve several aspects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share-based payment transactions, including the income tax consequences and classification on the statements of cash flows. The Company recognizes the effect of forfeitures in compensation cost when they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modifies the measurement of expected credit losses on certain financial instruments. The Company adopted ASU 2016-13 in its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2021 utilizing the modified retrospective transition method. Based on the composition of the Company’s investment portfolio and current market conditions, the adoption of ASU 2016-13 did not have a material impact on its Financial Statements.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(a consensus of the FASB Emerging Issues Task Force).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intended to clarify and reduce diversity in an issuer’s accounting for modifications or exchanges of freestanding equity-classified written call options (for example, warrants)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adopted ASU 2021-04 on its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2. FINANCIAL CONDITION AND 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The Company has not generated significant revenue and has incurred significant net losses in each year since inception. As of December 31, 2022, the Company has incurred approximately $369 million of cumulative net losses. As of December 31, 2022, the Company had $32.8 million in cash and cash equivalents, short-term investments, and interest receivable; and $1.6 net proceeds on the sale of net operating losses and $6.0 million in restricted cash required to maintain on deposit with SVB as cash collateral for the SVB debt. The Company has substantial future capital requirements to continue its research and development activities and advance its drug candidates through various development stages. The Company believes these expenditures are essential for the commercialization of its technologies. The Company believes it has sufficient capital resources to fund its operations into 2025.</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these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drug candidates;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As part of the Technology Business Tax Certificate Program, the Company sold $1.6 million and $1.5 million of its New Jersey NOLs in 2022 and 2021, respectively. The sale of these net operating losses resulted in net proceeds to the Company of approximately $1.6 million in 2022 and $1.4 million in 2021. During 2021, the New Jersey State Legislature increased the maximum lifetime benefit per company from $15 million to $20 million, which will allow the Company to participate in this funding program in future years for up to an additional $1.9 million in net operating losses under this maximum lifetime benefit.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Imunon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Imunon repaid $5 million of the $10 million loan and $0.2 million in related end of term charges, and the remaining $5 million in obligations were restructured. As more fully discussed in Note 9 to these Financial Statements, in June 2021, the Company entered into a $10 million loan facility with Silicon Valley Bank (“SVB”). The Company immediately used $6 million from this facility to retire all outstanding indebtedness with Horizon. Concurrently with this retirement, the Company was required to fund a restricted cash account in the amount of $6 million. The funding is in the form of money market secured indebtedness bearing interest at a calculated WSJ Prime-based variable rate (currently 7.75%). Payments under the loan agreement are interest only for the first 24 months after loan closing, followed by a 24-month amortization period of principal and interest through the scheduled maturity date.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 See Note 11 for a discussion of the Company’s issuance and redemption of Series A Preferred Stock and Series B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DEBT SECURITIES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$21,254,485 and $29,803,095 as of December 31, 2022 and 2021,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21"/>
                <w:szCs w:val="21"/>
                <w:color w:val="auto"/>
              </w:rPr>
            </w:pPr>
          </w:p>
        </w:tc>
        <w:tc>
          <w:tcPr>
            <w:tcW w:w="28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6"/>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14,786,982</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14,778,705</w:t>
            </w: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21,227,991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21,254,485</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15,024,087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15,024,390</w:t>
            </w: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21,227,991</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21,254,485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29,811,069</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10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F-16</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21"/>
                <w:szCs w:val="21"/>
                <w:color w:val="auto"/>
              </w:rPr>
            </w:pPr>
          </w:p>
        </w:tc>
        <w:tc>
          <w:tcPr>
            <w:tcW w:w="282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6"/>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4,005,559</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3,994,590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19,798,177</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19,799,835</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17,222,432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17,259,895</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10,012,892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10,003,260</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21,227,991</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21,254,485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2022 and 2021. The Company has reviewed individual securities to determine whether a decline in fair value below the amortizable cost basis is other than temporary.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1"/>
                <w:szCs w:val="21"/>
                <w:color w:val="auto"/>
              </w:rPr>
            </w:pPr>
          </w:p>
        </w:tc>
        <w:tc>
          <w:tcPr>
            <w:tcW w:w="292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4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losses are less than 12 months at date of</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8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18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Gains (Losses)</w:t>
            </w:r>
          </w:p>
        </w:tc>
      </w:tr>
      <w:tr>
        <w:trPr>
          <w:trHeight w:val="216"/>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13,278,505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8,999,580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3,499</w:t>
            </w:r>
          </w:p>
        </w:tc>
      </w:tr>
      <w:tr>
        <w:trPr>
          <w:trHeight w:val="23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losses</w:t>
            </w: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7,975,980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(17,014)</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20,803,515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3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21,254,485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which includes net realized losses on sales of available for sale securities and investment income interest and dividends,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502,578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10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(49,222)</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(7,149)</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RESTRICTED CASH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the SVB Loan Facility entered into on June 18, 2021 as further discussed in Note 11,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totaled $6.0 million as of December 31, 2022 and 2021. This amount is presented in part as restricted cash for $1.5 million in current assets and $4.5 million in other non-current assets on the accompanying condensed consolidated balance sheets. On March 10, 2023, Silicon Valley Bank (“SVB”) was closed by the California Department of Financial Protection and Innovation, which appointed the Federal Deposit Insurance Corporation (“FDIC”) as receiver. Although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or any other financial institution that is placed into receivership by the FDIC may be impacted. by other disruptions to the U.S. banking system caused by the recent developments involving SVB.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92" w:name="page93"/>
    <w:bookmarkEnd w:id="9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consolidated balance sheets to the consolidated statements of cash flows:</w:t>
      </w:r>
    </w:p>
    <w:tbl>
      <w:tblPr>
        <w:tblLayout w:type="fixed"/>
        <w:tblInd w:w="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11,492,841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17,492,841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VALUES OF FINANCIAL INSTRUMENTS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2 items in both 2022 and 2021. There were no transfers of assets or liabilities between Level 1 and Level 2 and no transfers in or out of Level 3 during the years ended December 31, 2022 and 2021. The changes in Level 3 liabilities were the result of changes in the fair value of the earn-out milestone liability included in earnings and in-process R&amp;D. The earnout milestone liability at December 31, 2021 is valued using a risk-adjusted assessment of the probability of payment of each milestone, discounted to present value using an estimated time to achieve the milestone (see Note 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Active Markets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60" w:type="dxa"/>
            <w:vAlign w:val="bottom"/>
          </w:tcPr>
          <w:p>
            <w:pPr>
              <w:spacing w:after="0"/>
              <w:rPr>
                <w:sz w:val="21"/>
                <w:szCs w:val="21"/>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21,254,485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21,254,485</w:t>
            </w:r>
          </w:p>
        </w:tc>
      </w:tr>
      <w:tr>
        <w:trPr>
          <w:trHeight w:val="216"/>
        </w:trPr>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and U.S. treasury obligations,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29,803,095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R&amp;D (Note 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5,396,000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439"/>
        </w:trPr>
        <w:tc>
          <w:tcPr>
            <w:tcW w:w="4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F-18</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The Company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the third quarter ended September 30, and whenever events or changes in circumstances indicate that the carrying value of the assets might not be recoverable. The Company’s IPR&amp;D consisted of three core elements, its RNA delivery system, its glioblastoma multiforme cancer (“GBM”) drug candidate and its ovarian cancer indication.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2021 and its impact on market capitalization rates in this sector, IPR&amp;D was reviewed for impairment. Having conducted a quantitative analysis of the company’s IPR&amp;D assets, the Company concluded the IPR&amp;D asset was impaired during the fourth quarter of 2022. As of December 31, 2022, the Company wrote off the $13.4 million carrying value of this asset, thereby recognizing a non-cash charge of $13.4 million in the fourth quarter of 2022.</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2021, the Company assessed whether there were indicators of impairment for the Company’s IPR&amp;D and determined that no IPR&amp;D asset was impaired during that period. Due to the continuing deterioration of public capital markets in the biotech industry in 2021 and its impact on market capitalization rates in this sector, IPR&amp;D was reviewed for impairment. Having conducted a quantitative analysis of the company’s IPR&amp;D assets, the Company concluded no IPR&amp;D asset was impaired during that period. Due to the continuing slowdown in investment by public capital markets in the biotech industry and its impact on market capitalization rates in this sector, the Company conducted a valuation analysis of its IPR&amp;D for the ovarian cancer indication as of December 31, 2021. Based on this valuation analysis, the Company has concluded that it is not more likely than not that the asset is impaired as of December 31, 2021. As such, no impairment charges for IPR&amp;D related to the ovarian cancer indication were recorded during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would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$113,660 in 2021. The Covenant Not to Compete was fully amortized by the end of 2021.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the Company’s third quarter ended September 30 or sooner if the Company believes indicators of impairment exist. As of September 30, 2021, the Company’s fair value exceeded its carrying value and as such no impairment was recognized for Goodwill through the third quarter of 2021. Due to the continuing slowdown in investment in 2021 by public capital markets in the biotech industry and its impact on market capitalization rates in this sector, Goodwill was reviewed for impairment as of December 31, 2021. Based on this assessment, Company concluded that Goodwill was impaired. As of December 31, 2021, the Company wrote off the $2.0 million carrying value of this asset, thereby recognizing a non-cash charge of $2.0 million in the fourth quarter of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net fair value of the assets acquired in the EGEN Acquisition for the two years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Covenant Not to</w:t>
            </w:r>
          </w:p>
        </w:tc>
        <w:tc>
          <w:tcPr>
            <w:tcW w:w="0" w:type="dxa"/>
            <w:vAlign w:val="bottom"/>
          </w:tcPr>
          <w:p>
            <w:pPr>
              <w:spacing w:after="0"/>
              <w:rPr>
                <w:sz w:val="1"/>
                <w:szCs w:val="1"/>
                <w:color w:val="auto"/>
              </w:rPr>
            </w:pPr>
          </w:p>
        </w:tc>
      </w:tr>
      <w:tr>
        <w:trPr>
          <w:trHeight w:val="241"/>
        </w:trPr>
        <w:tc>
          <w:tcPr>
            <w:tcW w:w="5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IPR&amp;D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Compete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 net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1,976,101</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113,660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(113,660)</w:t>
            </w: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5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(1,976,101)</w:t>
            </w:r>
          </w:p>
        </w:tc>
        <w:tc>
          <w:tcPr>
            <w:tcW w:w="4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5"/>
        </w:trPr>
        <w:tc>
          <w:tcPr>
            <w:tcW w:w="5400" w:type="dxa"/>
            <w:vAlign w:val="bottom"/>
            <w:tcBorders>
              <w:top w:val="single" w:sz="8" w:color="CCEEFF"/>
            </w:tcBorders>
          </w:tcPr>
          <w:p>
            <w:pPr>
              <w:spacing w:after="0" w:line="185" w:lineRule="exact"/>
              <w:rPr>
                <w:sz w:val="20"/>
                <w:szCs w:val="20"/>
                <w:color w:val="auto"/>
              </w:rPr>
            </w:pPr>
            <w:r>
              <w:rPr>
                <w:rFonts w:ascii="Times New Roman" w:cs="Times New Roman" w:eastAsia="Times New Roman" w:hAnsi="Times New Roman"/>
                <w:sz w:val="18"/>
                <w:szCs w:val="18"/>
                <w:color w:val="auto"/>
              </w:rPr>
              <w:t>Balance at December 31, 2021, net</w:t>
            </w:r>
          </w:p>
        </w:tc>
        <w:tc>
          <w:tcPr>
            <w:tcW w:w="5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13,366,234</w:t>
            </w:r>
          </w:p>
        </w:tc>
        <w:tc>
          <w:tcPr>
            <w:tcW w:w="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540" w:type="dxa"/>
            <w:vAlign w:val="bottom"/>
          </w:tcPr>
          <w:p>
            <w:pPr>
              <w:spacing w:after="0"/>
              <w:rPr>
                <w:sz w:val="22"/>
                <w:szCs w:val="22"/>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(13,366,234)</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 net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December 31, 2022 and 2021 consist of the following:</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(5-7 year life)</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2,468,388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(3-5 year life)</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350,481</w:t>
            </w:r>
          </w:p>
        </w:tc>
        <w:tc>
          <w:tcPr>
            <w:tcW w:w="4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383,477</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(5-7 year life)</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373,194</w:t>
            </w:r>
          </w:p>
        </w:tc>
        <w:tc>
          <w:tcPr>
            <w:tcW w:w="4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343,203</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3,192,063</w:t>
            </w: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3,832,749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(2,643,762)</w:t>
            </w:r>
          </w:p>
        </w:tc>
        <w:tc>
          <w:tcPr>
            <w:tcW w:w="4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(3,355,738)</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548,301</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477,011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OTHER ACCRUED LIABILITIES</w:t>
            </w:r>
          </w:p>
        </w:tc>
        <w:tc>
          <w:tcPr>
            <w:tcW w:w="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at December 31, 2022 and 2021 include the following:</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2,196,711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2,139,927</w:t>
            </w:r>
          </w:p>
        </w:tc>
        <w:tc>
          <w:tcPr>
            <w:tcW w:w="4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1,636,727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37,583</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215,402</w:t>
            </w:r>
          </w:p>
        </w:tc>
        <w:tc>
          <w:tcPr>
            <w:tcW w:w="4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87,250</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205,313</w:t>
            </w:r>
          </w:p>
        </w:tc>
        <w:tc>
          <w:tcPr>
            <w:tcW w:w="4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31,412</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4,794,936</w:t>
            </w: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F-20</w:t>
            </w: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9.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as further discussed below. Concurrently with this transaction, the Company used $6.0 million of other available funds to establish a restricted cash account which serves as security for the SVB Loan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is in the form of money market secured indebtedness bearing interest at a calculated WSJ Prime-based variable rate (currently 7.75%).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years ended December 31, 2022 and 2021, the Company incurred interest expense of $295,792 and $106,709 and amortized $181,259 and $97,831, respectively, as interest expense for debt discounts and end-of-term fee in connection with the SVB Loan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future principal payments, net of unamortized debt discounts and amortized end-of-term fee, due on the SVB Loan Facility: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8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8"/>
                <w:szCs w:val="18"/>
                <w:color w:val="auto"/>
              </w:rPr>
            </w:pPr>
          </w:p>
        </w:tc>
      </w:tr>
      <w:tr>
        <w:trPr>
          <w:trHeight w:val="25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r>
      <w:tr>
        <w:trPr>
          <w:trHeight w:val="203"/>
        </w:trPr>
        <w:tc>
          <w:tcPr>
            <w:tcW w:w="8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of future principal payments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end-of-term fee, net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(35,720)</w:t>
            </w:r>
          </w:p>
        </w:tc>
      </w:tr>
      <w:tr>
        <w:trPr>
          <w:trHeight w:val="217"/>
        </w:trPr>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5,964,280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Imunon repaid $5 million of the $10 million loan and $0.2 million in related end of term charges, and the remaining $5 million in obligations were restructured as set forth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Amendment, the remaining $5 million in obligations of Imunon under the Horizon Credit Agreement was secured by a first-priority security interest in substantially all assets of Imunon other than intellectual property assets. The obligations bore interest at a rate calculated based on an amount by which the one-month LIBOR exceeds 2% plus 7.625%. In no event could the interest rate be less than 9.625%. Payments pursuant to the Amendment were interest only for the first 12 months after August 1, 2020, followed by a 21-month amortization period of principal and interest through the scheduled maturity date on April 1, 2023. In addition, the remaining $5 million in obligations was subject to an end of term fee equal, in the aggregate, to $275,000, which amount was payable upon the maturity of the obligations or upon the date of final payment or default, as applicable. In connection with the Amendment, Imunon agreed to a liquidity covenant which provided that, at all times, Imunon maintain unrestricted cash and/or cash equivalents on deposit in accounts over which the applicable lenders maintained an account control agreement in an amount not less than $2.5 million. In addition, pursuant to the Amendment, Imunon agreed to provide evidence to Horizon on or before March 31, 2021, that it received aggregate cash proceeds of not less than $5 million from the sale of equity, debt, its New Jersey NOLs, or a combination thereof, subsequent to the date of the Amendment. The Company met this requirement during the fourth quarter of 2020.</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 the Company was required to pay an end of term charge equal to 4.0% of the original loan amount at time of maturity. Therefore, those amounts totaling $400,000 were being amortized as interest expense using the effective interest method over the life of the loan.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fee in connection with the Horizon Credit Agreement, Imunon issued Horizon warrants exercisable for a total of 12,674 shares of Imunon’s common stock (the “Existing Warrants”) at a per share exercise price of $39.45. The Existing Warrants were immediately exercisable for cash or by net exercise from the date of grant and will expire after ten years from the date of grant. The Company valued the Existing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6,337 shares of Imunon’s common stock, have been canceled, and, in connection with the Amendment, Imunon issued Horizon new warrants exercisable at a per share exercise price equal to $15.15 for a total of 16,501 shares of Imunon’s common stock (the “New Warrants” and, together with the Existing Warrants, the “Warrants”). The remaining 6,337 Existing Warrants issued in connection with the Horizon Credit Agreement remain outstanding at the exercise price of $39.45 per share.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Warrants were immediately exercisable for cash or by net exercise from the date of grant and will expire after ten years from the date of grant. The Horizon Credit Agreement contains customary representations, warranties and affirmative and negative covenants including, among other things, covenants that limit or restrict Imunon’s ability to grant liens, incur indebtedness, make certain restricted payments, merge, or consolidate and make dispositions of assets.</w:t>
      </w:r>
    </w:p>
    <w:p>
      <w:pPr>
        <w:spacing w:after="0" w:line="17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 xml:space="preserve">The Amendment was evaluated in accordance with FASB ASC 470-50, </w:t>
      </w:r>
      <w:r>
        <w:rPr>
          <w:rFonts w:ascii="Times New Roman" w:cs="Times New Roman" w:eastAsia="Times New Roman" w:hAnsi="Times New Roman"/>
          <w:sz w:val="17"/>
          <w:szCs w:val="17"/>
          <w:i w:val="1"/>
          <w:iCs w:val="1"/>
          <w:color w:val="auto"/>
        </w:rPr>
        <w:t>Debt-Modifications and Extinguishments</w:t>
      </w:r>
      <w:r>
        <w:rPr>
          <w:rFonts w:ascii="Times New Roman" w:cs="Times New Roman" w:eastAsia="Times New Roman" w:hAnsi="Times New Roman"/>
          <w:sz w:val="17"/>
          <w:szCs w:val="17"/>
          <w:color w:val="auto"/>
        </w:rPr>
        <w:t>, for debt modification and extinguishment accounting. The Company accounted for the $5 million it repaid as a debt extinguishment thereby reducing the principal obligations accordingly.</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remaining $5 million of obligation under the Amendment as a debt modification to the initial agreement with respect to the minor changes in cash flows. Also, in connection with the $5 million remaining obligations, the Company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$225,920 in interest expense and amortized $139,428 as interest expense for debt discounts and end of term charges in connection with the Horizon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as a condition of entering into the SVB Loan Facility, the Company paid the outstanding principal balance, an early termination fee and the end of term charges in full satisfaction of the Horizon Credit Agreement, as amended. The following is a schedule of the amounts paid to Horizon on June 18, 2021:</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June 18, 2021</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5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r>
      <w:tr>
        <w:trPr>
          <w:trHeight w:val="216"/>
        </w:trPr>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recorded a loss of $234,419 on the termination of the Horizon Credit Agreement, as amended, which represented the early termination fee and the end of term fees, net of previously amortized interest expense totaling $190,581 on the date of its payoff.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benefit for the years ended December 31, 2022 and 2021 consists of the following:</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4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(1,567,026)</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(1,383,446)</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tax rate to the effective rate for the years ended December 31, 2022 and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deferred rate change, net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 as of December 31, 2022 and 2021 are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64,915,000</w:t>
            </w:r>
          </w:p>
        </w:tc>
        <w:tc>
          <w:tcPr>
            <w:tcW w:w="100" w:type="dxa"/>
            <w:vAlign w:val="bottom"/>
            <w:shd w:val="clear" w:color="auto" w:fill="CCEEFF"/>
          </w:tcPr>
          <w:p>
            <w:pPr>
              <w:spacing w:after="0"/>
              <w:rPr>
                <w:sz w:val="18"/>
                <w:szCs w:val="18"/>
                <w:color w:val="auto"/>
              </w:rPr>
            </w:pPr>
          </w:p>
        </w:tc>
      </w:tr>
      <w:tr>
        <w:trPr>
          <w:trHeight w:val="23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tax assets, net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13,287,000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5,213,000</w:t>
            </w:r>
          </w:p>
        </w:tc>
      </w:tr>
      <w:tr>
        <w:trPr>
          <w:trHeight w:val="216"/>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93,087,000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(91,519,974)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(68,744,554)</w:t>
            </w:r>
          </w:p>
        </w:tc>
      </w:tr>
      <w:tr>
        <w:trPr>
          <w:trHeight w:val="23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The Company has established a valuation reserve for its deferred income tax assets other than those related to its New Jersey NOLs. At December 31, 2021, after its evaluation of its New Jersey NOLs as discussed more fully below, the Company reduced the valuation reserve and recognized $1.6 million as a deferred income tax asset. Such tax assets are available to be recognized and benefit future periods. As of December 31, 2022, the Company had federal net operating loss carryforwards of approximately $330 million, net of net operating losses utilized in prior years of which $225 million, if unused, will expire starting in 2023 through 2037. The Federal net operating loss generated for the years ended December 31, 2018, 2019, 2020, and 2021 of approximately $64 million can be carried forward indefinitely. However, the deduction for net operating losses incurred in tax years beginning after January 1, 2018 is limited to 80% of annual taxable income. On March 27, 2020, the Coronavirus Aid, Relief, and Economic Security Act (“CARES Act”) was enacted in response to the COVID-19 pandemic. The CARES Act provides for economic and cash liquidity stimulus through various means including payroll tax credits, payroll tax deferral, short-term changes in tax deductibility of interest expenses among other things. The Act also permits NOL carryovers and carrybacks to offset 100% of taxable income for taxable years beginning before 2021. Previously, NOLs generated after December 31, 2017 were limited to 80% of taxable income in future years. In addition, the CARES Act allows NOLs incurred in 2018 through 2021 to be carried back to each of the five preceding tax years. The Company evaluated the various aspects of the Cares Act and determined that there was no material effect on the Financial Statements. As of December 31, 2022, the Company had state net operating loss carryforwards of approximately $58 million, net of net operating losses utilized in prior years, and, if unused, will expire starting in 2029 through 2041.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jc w:val="both"/>
        <w:spacing w:after="0" w:line="251" w:lineRule="auto"/>
        <w:rPr>
          <w:sz w:val="20"/>
          <w:szCs w:val="20"/>
          <w:color w:val="auto"/>
        </w:rPr>
      </w:pPr>
      <w:r>
        <w:rPr>
          <w:rFonts w:ascii="Times New Roman" w:cs="Times New Roman" w:eastAsia="Times New Roman" w:hAnsi="Times New Roman"/>
          <w:sz w:val="18"/>
          <w:szCs w:val="18"/>
          <w:color w:val="auto"/>
        </w:rPr>
        <w:t>During 2022, 2021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October 2017, August 2018, February 2020, January 2021 and November 2022. As a result, the utilization of the Company’s federal tax net operating loss carry forwards generated prior to the ownership changes are limited. As of December 31, 2022, the Company has net operating loss carry forwards for U.S. federal and state tax purposes of approximately $325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approximately $0.8 million per year for approximately $5 million of additional net operating losses occurring from June 2017 to the ownership change that occurred in October 2017, approximately $1.5 million per year for approximately $30 million of additional net operating losses occurring from October 2017 to the ownership change that occurred in August 2018, approximately $0.8 million per year for approximately $15 million of additional net operating losses occurring from August 2018 to the ownership change that occurred in February 2020 and approximately $2.0 million per year for approximately $40 million of additional net operating losses occurring from February 2020 to the ownership change that occurred in January 2021 and approximately $28.0 million per year for approximately $30 million of additional net operating losses occurring from January 2021 to the ownership change that occurred in November 2023. The utilization of these net operating loss carry forwards may be further limited if the Company experiences future ownership changes as defined in Section 382 of the Internal Revenue Code.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New Jersey Net Operating Losses</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Since 2018, the Company has annually submitted applications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As part of the Technology Business Tax Certificate Program, the Company sold $1.6 million and $1.5 million of its New Jersey NOLs in 2022 and 2021, respectively. The sale of these net operating losses resulted in net proceeds to the Company of approximately $1.6 million in 2022 and $1.4 million in 2021. During 2021, the New Jersey State Legislature increased the maximum lifetime benefit per company from $15 million to $20 million, which will allow the Company to participate in this funding program in future years for up to an additional $1.9 million in net operating losses under this maximum lifetime benefit.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announced a corporate name change to Imunon, Inc. The Company’s common stock will continue to trade on the Nasdaq Stock Market under the new ticker symbol “IMNN” effective as of the opening of trading on September 21, 2022, and its CUSIP number (15117N602) remained unchanged. The Company filed an amendment to its Articles of Incorporation to effect the new corporate name.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31,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 The primary reasons for the reverse stock split and the amendment were: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 On December 2, 2021,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31, 2022, to regain compliance with this requirement, which occurs when the closing bid price of the Company’s Common Stock is at least $1.00 per share for a minimum of ten consecutive business days during the 180-day compliance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5,770,516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were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The Company did not sell any shares under the Agreement with Wainwright in the first nine months of 2022. From October 1, 2022 through the date of December 31, 2022, the Company sold 336,075 shares of stock for net proceeds of $503,798. In 2023, the Company has sold 1,653,392 shares of stock for net proceeds of $2,465,656.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29"/>
          <w:szCs w:val="29"/>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2021, the Company has sold 0.5 million shares under the Capital on Demand Agreement, receiving approximately $6.9 million in gross proceeds under the Capital on Demand Agreement. The Capital on Demand Agreement with JonesTrading was terminated in the first quarter of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issued and sold,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issued and sold, in a registered direct offering (the “March 2021 Offering”), an aggregate of 769,230 shares of the Company’s common stock, at an offering price of $19.50 per share for gross proceeds of approximately $15 million before the deduction of the placement agents fee and offering expenses. The closing of the offering occurred on April 5,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2021 Offering, the Company entered into a placement agent agreement (the “March 2021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Series B Preferred Stock. As a result, all shares of the Preferred Stock have been retired and are no longer outstanding and Imunon’s only class of outstanding stock is its common.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pursuant to which the Company agreed to pay AGP an aggregate cash fee equal to $1,000,000 and reimburse the AGP for certain of their expenses in an amount not to exceed $110,000.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April 2022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Compensation Committee of the Board of Directors approved the grant of (i) inducement stock options (the “Inducement Option Grants”) to purchase a total of 204,501 shares of Imunon common stock and (ii) inducement restricted stock awards (the “Inducement Stock Grants”) totaling 69,250 shares of Imunon common stock. Each award has a grant date of the date of grant. Each Inducement Option Grant has a weighted exercise price of $1.76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there were a total of 945,073 shares of Imunon common stock reserved for issuance under the 2018 Plan, which were comprised of 556,119 shares of Imunon common stock subject to equity awards previously granted under the 2018 Plan and 2007 Plan and 388,954 shares of Imunon common stock available for future issuance under the 2018 Plan. As of December 31, 2022, there are a total of 263,751 shares of Imunon common stock subject to outstanding inducement awards.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$2.7 million and $3.8 million during 2022 and 2021, respectively. Of these amounts, $0.9 million and $1.4 million were charged to research and development expenses during 2022 and 2021, respectively, and $1.8 million and $2.4 million were charged to general and administrative expenses during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awards as of December 31, 2022 and changes during the two-year period ended December 31,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9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148,016</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32.09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(14,404)</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38.23</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38.50</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716,156</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(397,361)</w:t>
            </w:r>
          </w:p>
        </w:tc>
        <w:tc>
          <w:tcPr>
            <w:tcW w:w="1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39.06</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6"/>
        </w:trPr>
        <w:tc>
          <w:tcPr>
            <w:tcW w:w="47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760,220</w:t>
            </w:r>
          </w:p>
        </w:tc>
        <w:tc>
          <w:tcPr>
            <w:tcW w:w="200" w:type="dxa"/>
            <w:vAlign w:val="bottom"/>
            <w:tcBorders>
              <w:top w:val="single" w:sz="8" w:color="CCEEFF"/>
              <w:bottom w:val="single" w:sz="8" w:color="CCEEFF"/>
            </w:tcBorders>
          </w:tcPr>
          <w:p>
            <w:pPr>
              <w:spacing w:after="0"/>
              <w:rPr>
                <w:sz w:val="22"/>
                <w:szCs w:val="22"/>
                <w:color w:val="auto"/>
              </w:rPr>
            </w:pPr>
          </w:p>
        </w:tc>
        <w:tc>
          <w:tcPr>
            <w:tcW w:w="1060" w:type="dxa"/>
            <w:vAlign w:val="bottom"/>
            <w:tcBorders>
              <w:top w:val="single" w:sz="8" w:color="CCEEFF"/>
              <w:bottom w:val="single" w:sz="8" w:color="CCEEFF"/>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w:t>
            </w:r>
          </w:p>
        </w:tc>
        <w:tc>
          <w:tcPr>
            <w:tcW w:w="150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Borders>
              <w:top w:val="single" w:sz="8" w:color="CCEEFF"/>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201,935</w:t>
            </w:r>
          </w:p>
        </w:tc>
        <w:tc>
          <w:tcPr>
            <w:tcW w:w="200" w:type="dxa"/>
            <w:vAlign w:val="bottom"/>
          </w:tcPr>
          <w:p>
            <w:pPr>
              <w:spacing w:after="0"/>
              <w:rPr>
                <w:sz w:val="21"/>
                <w:szCs w:val="21"/>
                <w:color w:val="auto"/>
              </w:rPr>
            </w:pP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F-28</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awards as of December 31, 2022 and changes during the two-year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18"/>
                <w:szCs w:val="18"/>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21"/>
                <w:szCs w:val="21"/>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January 1, 2021</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8"/>
                <w:szCs w:val="18"/>
                <w:color w:val="auto"/>
              </w:rPr>
            </w:pPr>
          </w:p>
        </w:tc>
      </w:tr>
      <w:tr>
        <w:trPr>
          <w:trHeight w:val="25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Non-vested stock awards outstanding at December 31, 2021</w:t>
            </w:r>
          </w:p>
        </w:tc>
        <w:tc>
          <w:tcPr>
            <w:tcW w:w="1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w:t>
            </w: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8"/>
                <w:szCs w:val="18"/>
                <w:color w:val="auto"/>
              </w:rPr>
            </w:pPr>
          </w:p>
        </w:tc>
      </w:tr>
      <w:tr>
        <w:trPr>
          <w:trHeight w:val="24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2022 by price range is as follows: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4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$10.00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709,952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166,301</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$25.00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5,597</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18.54</w:t>
            </w:r>
          </w:p>
        </w:tc>
      </w:tr>
      <w:tr>
        <w:trPr>
          <w:trHeight w:val="25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$25.01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39,768</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32.43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30,037</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4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760,220</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201,935</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Imunon’s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392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6180" w:type="dxa"/>
            <w:vAlign w:val="bottom"/>
            <w:tcBorders>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 to 3.97 %</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 to 1.74 %</w:t>
            </w: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 to 113.9 %</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106.8% to 113.2 %</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 to 10.0</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As of December 31, 2022, there was $0.7 million of total unrecognized compensation cost related to non-vested stock-based compensation arrangements. That cost is expected to be recognized over a weighted-average period of 2.1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EARN-OUT MILESTONE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is fair valued at the end of each quarter and any change in their value will be recognized in the Financial Statements.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had the option to make the payment upon achievement of the milestones as follows:</w:t>
      </w:r>
    </w:p>
    <w:p>
      <w:pPr>
        <w:spacing w:after="0" w:line="176"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2022, the Company wrote off the earn-out milestone liability as a result of the requirements not being achieved and recognized a non-cash gain of $5.4 million during 2022 as a result of the change in the fair value of the earn-out milestone liability. At December 31, 2021, the Company fair valued the earn-out milestone liability at $5.4 million and recognized a non-cash gain of $1.6 million during 2021 as a result of the change in the fair value of the earn-out milestone liability of $7.0 million at December 31, 2020. In assessing the fair value of the earnout milestone liability at December 31, 2021, the Company considered each of the settlement provisions per the Amended Asset Purchase Agreement and equally weighted the probability of a cash or cash and common stock payment.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earn-out milestone liability for 2021 and 2022:</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7,018,000</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loss from the adjustment for the change in fair value included in 2021 net loss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(1,622,000)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gain from the adjustment for the change in fair value included in 2022 net loss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(5,396,000)</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WARRANTS</w:t>
            </w: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two years ended December 31, 2022: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744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0" w:type="dxa"/>
            <w:vAlign w:val="bottom"/>
          </w:tcPr>
          <w:p>
            <w:pPr>
              <w:spacing w:after="0"/>
              <w:rPr>
                <w:sz w:val="21"/>
                <w:szCs w:val="21"/>
                <w:color w:val="auto"/>
              </w:rPr>
            </w:pPr>
          </w:p>
        </w:tc>
        <w:tc>
          <w:tcPr>
            <w:tcW w:w="1760" w:type="dxa"/>
            <w:vAlign w:val="bottom"/>
            <w:gridSpan w:val="2"/>
          </w:tcPr>
          <w:p>
            <w:pPr>
              <w:jc w:val="center"/>
              <w:ind w:right="516"/>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28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exercised during 2021 (Note 11)</w:t>
            </w:r>
          </w:p>
        </w:tc>
        <w:tc>
          <w:tcPr>
            <w:tcW w:w="260" w:type="dxa"/>
            <w:vAlign w:val="bottom"/>
          </w:tcPr>
          <w:p>
            <w:pPr>
              <w:spacing w:after="0"/>
              <w:rPr>
                <w:sz w:val="20"/>
                <w:szCs w:val="20"/>
                <w:color w:val="auto"/>
              </w:rPr>
            </w:pPr>
          </w:p>
        </w:tc>
        <w:tc>
          <w:tcPr>
            <w:tcW w:w="1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(81,111)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2021</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expired during 2022</w:t>
            </w:r>
          </w:p>
        </w:tc>
        <w:tc>
          <w:tcPr>
            <w:tcW w:w="260" w:type="dxa"/>
            <w:vAlign w:val="bottom"/>
          </w:tcPr>
          <w:p>
            <w:pPr>
              <w:spacing w:after="0"/>
              <w:rPr>
                <w:sz w:val="20"/>
                <w:szCs w:val="20"/>
                <w:color w:val="auto"/>
              </w:rPr>
            </w:pPr>
          </w:p>
        </w:tc>
        <w:tc>
          <w:tcPr>
            <w:tcW w:w="1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(7,273)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2022</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168,519</w:t>
            </w:r>
          </w:p>
        </w:tc>
        <w:tc>
          <w:tcPr>
            <w:tcW w:w="320" w:type="dxa"/>
            <w:vAlign w:val="bottom"/>
            <w:tcBorders>
              <w:top w:val="single" w:sz="8" w:color="CCEEFF"/>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December 31, 2022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(years)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Warrants to exercise 4,059 shares of common stock at an exercise price of $31.05 per share expired on January, 11,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February 2020 Registered Direct financing (see Note 11), the Company issued warrants to purchase 213,333 shares of common stock in February 2020 of which 81,111 of these were exercised during 2021. In connection with the Horizon Credit Agreement Amendment, the Company cancelled warrants to purchase 6,337 shares of common stock and issued warrants to purchase 16,501 shares of common stock in August 2020. Pursuant to a consulting agreement dated September 21, 2020, the Company issued warrants to purchase 5,000 shares of common stock vesting immediately and having a 4-year term. The shares underlying these warrants are unregistered and have a strike price of $11.85 per share. The Company fair valued these warrants at $9.00 per share, recognizing $45,000 as professional fee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IMUNON EMPLOYEE BENEFIT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 maintains a defined-contribution plan under Section 401(k) of the Internal Revenue Code. The plan covers substantially all employees over the age of twenty-one. Participating employees may defer a portion of their pretax earnings, up to the IRS annual contribution limit. The Company makes a matching contribution up to a maximum of 3% of an employee’s annual salary. The Company’s total matching contributions for the year ended December 31, 2021 was $117,000 and $107,000, respectively. The Company also provided a discretionary contribution totaling $172,000 in 2021. The discretionary contribution represented 5% of each eligible participant’s annual salary in 2021 and was paid out in January of the following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This Lease was set to expire on April 30, 2017. In April 2017, the Company and the landlord amended the Lease effective May 1, 2017.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Times New Roman" w:cs="Times New Roman" w:eastAsia="Times New Roman" w:hAnsi="Times New Roman"/>
          <w:sz w:val="29"/>
          <w:szCs w:val="29"/>
          <w:color w:val="auto"/>
          <w:vertAlign w:val="superscript"/>
        </w:rPr>
        <w:t>st</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Lease Amendment. Effective January 9, 2019, the Company amended the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extended the lease term by one year to September 1, 2023. The Company had a one-time option to cancel the lease after 40 months as part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which was extended with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 The option to cancel the lease expired on August 31,</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2020. The monthly rent under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 ranges from approximately $25,035 in the first year to approximately $27,088 in the final year of the lease.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 In January 2023, the Company renewed Huntsville for a 60-month lease agreement for 11,420 square feet with rent payments of approximately $28,550.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December 31, 2022:</w:t>
      </w:r>
    </w:p>
    <w:p>
      <w:pPr>
        <w:spacing w:after="0" w:line="221"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ending</w:t>
            </w:r>
          </w:p>
        </w:tc>
      </w:tr>
      <w:tr>
        <w:trPr>
          <w:trHeight w:val="245"/>
        </w:trPr>
        <w:tc>
          <w:tcPr>
            <w:tcW w:w="45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(7,860)</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0.61 years</w:t>
            </w:r>
          </w:p>
        </w:tc>
      </w:tr>
      <w:tr>
        <w:trPr>
          <w:trHeight w:val="216"/>
        </w:trPr>
        <w:tc>
          <w:tcPr>
            <w:tcW w:w="45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2022, operating lease expense was $587,744 and cash paid for operating leases included in operating cash flows was $601,495. For 2021, operating lease expense was $560,513 and cash paid for operating leases included in operating cash flows was $568,269. Amortization expense was approximately $535,000 and $573,000 for the years ended December 31, 2022 and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alleges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 and the Company and Spar Individual Defendants therefore intend to seek dismissal with prejudice of the action.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 On March 10, 2023, the U.S. District Court for the District of New Jersey issued an order that the action is administratively terminated pending the submission, by March 17, 2023, of a joint letter advising as to how the parties wish to proceed in the matter.</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2021, an arbitration was commenced against the Company before the CPR Institute for Conflict Prevention &amp; Resolution, captioned Curia New Mexico, LLC v. Celsion Corp., Case No. G-22-85-S. The plaintiff alleges that the Company failed to pay invoices for the manufacture of ThermoDox®. The Company believes it has a meritorious defense to these claims and is vigorously contesting this allegation. At this stage of the case neither the likelihood that a loss, if any, will be realized, nor an estimate of possible loss or range of loss, if any, can be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Imunon consultative support costs and the purchase of any necessary equipment and additional facility costs necessary to support capacity requirements for</w:t>
      </w:r>
    </w:p>
    <w:p>
      <w:pPr>
        <w:jc w:val="both"/>
        <w:ind w:right="20"/>
        <w:spacing w:after="0" w:line="185" w:lineRule="auto"/>
        <w:rPr>
          <w:sz w:val="20"/>
          <w:szCs w:val="20"/>
          <w:color w:val="auto"/>
        </w:rPr>
      </w:pPr>
      <w:r>
        <w:rPr>
          <w:rFonts w:ascii="Times New Roman" w:cs="Times New Roman" w:eastAsia="Times New Roman" w:hAnsi="Times New Roman"/>
          <w:sz w:val="18"/>
          <w:szCs w:val="18"/>
          <w:color w:val="auto"/>
        </w:rPr>
        <w:t>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Imunon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meet certain performance requirements under the agreement. The</w:t>
      </w:r>
    </w:p>
    <w:p>
      <w:pPr>
        <w:jc w:val="both"/>
        <w:spacing w:after="0" w:line="233" w:lineRule="auto"/>
        <w:rPr>
          <w:sz w:val="20"/>
          <w:szCs w:val="20"/>
          <w:color w:val="auto"/>
        </w:rPr>
      </w:pPr>
      <w:r>
        <w:rPr>
          <w:rFonts w:ascii="Times New Roman" w:cs="Times New Roman" w:eastAsia="Times New Roman" w:hAnsi="Times New Roman"/>
          <w:sz w:val="18"/>
          <w:szCs w:val="18"/>
          <w:color w:val="auto"/>
        </w:rPr>
        <w:t>agreement will initially be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Imunon around the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January 18, 2013, the Company entered into a technology development contract with Hisun, pursuant to which Hisun paid it a non-refundable research and development fee of $5 million to support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the Company’s announcement on January 31, 2013 that the HEAT study failed to meet its primary endpoint, Imunon and Hisun have agreed that the Technology Development Contract entered into on January 18, 2013 will remain in effect while the parties continue to collaborate and are evaluating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HCC clinical indication and</w:t>
      </w:r>
    </w:p>
    <w:p>
      <w:pPr>
        <w:jc w:val="both"/>
        <w:spacing w:after="0" w:line="209" w:lineRule="auto"/>
        <w:rPr>
          <w:sz w:val="20"/>
          <w:szCs w:val="20"/>
          <w:color w:val="auto"/>
        </w:rPr>
      </w:pPr>
      <w:r>
        <w:rPr>
          <w:rFonts w:ascii="Times New Roman" w:cs="Times New Roman" w:eastAsia="Times New Roman" w:hAnsi="Times New Roman"/>
          <w:sz w:val="18"/>
          <w:szCs w:val="18"/>
          <w:color w:val="auto"/>
        </w:rPr>
        <w:t>other activities to further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has been recorded to deferred revenue and was amortized over the 10 -year term of the agreement, until such time as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parties find a mutually acceptable path forward on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The Notes, which are included in prepaid expense and other current assets bear interest at 5% per annum, with interest and principal due on December 31, 2026. The notes are classified as available for sale. The warrants are exercisable upon closing and expire 36 months from the date of issuance or November 22, 2025. As a result of Mr. Tardugno’s appointment to the Board of Transomic, the Company is disclosing the notes receivable as a related party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2022, through the date these consolidated financial statements were issued, determining all subsequent events have been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744"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the Effective Date between</w:t>
      </w:r>
      <w:r>
        <w:rPr>
          <w:rFonts w:ascii="Times New Roman" w:cs="Times New Roman" w:eastAsia="Times New Roman" w:hAnsi="Times New Roman"/>
          <w:sz w:val="18"/>
          <w:szCs w:val="18"/>
          <w:b w:val="1"/>
          <w:bCs w:val="1"/>
          <w:color w:val="auto"/>
        </w:rPr>
        <w:t xml:space="preserve"> SILICON VALLEY BANK</w:t>
      </w:r>
      <w:r>
        <w:rPr>
          <w:rFonts w:ascii="Times New Roman" w:cs="Times New Roman" w:eastAsia="Times New Roman" w:hAnsi="Times New Roman"/>
          <w:sz w:val="18"/>
          <w:szCs w:val="18"/>
          <w:color w:val="auto"/>
        </w:rPr>
        <w: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corporation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 the borrower listed on Schedule I hereto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parties agree as 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b w:val="1"/>
          <w:bCs w:val="1"/>
          <w:u w:val="single" w:color="auto"/>
          <w:color w:val="auto"/>
        </w:rPr>
        <w:t>LOAN AND TERMS OF PAYMENT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Term Loan.</w:t>
      </w:r>
    </w:p>
    <w:p>
      <w:pPr>
        <w:spacing w:after="0" w:line="229" w:lineRule="exact"/>
        <w:rPr>
          <w:sz w:val="20"/>
          <w:szCs w:val="20"/>
          <w:color w:val="auto"/>
        </w:rPr>
      </w:pPr>
    </w:p>
    <w:p>
      <w:pPr>
        <w:jc w:val="both"/>
        <w:ind w:firstLine="1304"/>
        <w:spacing w:after="0" w:line="266" w:lineRule="auto"/>
        <w:tabs>
          <w:tab w:leader="none" w:pos="15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upon Borrower’s request, during the Draw Period, Bank shall make term loan advances not exceeding the Term Loan Availability Amount (each such advance is referred to herein as a “</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Borrower may request Term Loan Advances as set forth on Schedule I 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repay each Term Loan Advance as set forth in Schedule I hereto. All outstanding principal and accrued and unpaid interest under each Term Loan Advance, and all other outstanding Obligations with respect to such Term Loan Advance, are due and payable in full on the Term Loan Maturity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Borrower shall have the option to prepay all or any portion of the Term Loan Advances, provided Borrower (i) delivers written notice to Bank of its election to prepay all or a portion of the Term Loan Advances, which such prepayment portion shall be an aggregate principal amount of at least $5,000,000.00, at least 10 days prior to such prepayment along with a notice of the portion of the principal amount being prepaid, and (ii) pays, on the date of such prepayment (A) the outstanding principal plus accrued and unpaid interest with respect to the portion of the Term Loan Advances, (B) the Prepayment Fee with respect to the portion of the Term Loan Advances being prepaid, (C) the Final Payment with respect to the portion of the Term Loan Advances being prepaid, and (D) all other sums, if any, that shall have become due and payable with respect to the portion of the Term Loan Advances being prepaid, including interest at the Default Rate with respect to any past due amounts.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Payment of Interest on the Credit Extensions.</w:t>
      </w:r>
    </w:p>
    <w:p>
      <w:pPr>
        <w:spacing w:after="0" w:line="229" w:lineRule="exact"/>
        <w:rPr>
          <w:sz w:val="20"/>
          <w:szCs w:val="20"/>
          <w:color w:val="auto"/>
        </w:rPr>
      </w:pPr>
    </w:p>
    <w:p>
      <w:pPr>
        <w:ind w:left="1540" w:hanging="236"/>
        <w:spacing w:after="0"/>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 Interest on the principal amount of each Term Loan Advance is payable as set forth on Schedule I hereto.</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firstLine="640"/>
        <w:spacing w:after="0" w:line="282" w:lineRule="auto"/>
        <w:tabs>
          <w:tab w:leader="none" w:pos="28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1.2(c), the outstanding principal amount of any Term Loan Advance shall accrue interest as set forth on Schedule I hereto.</w:t>
      </w:r>
    </w:p>
    <w:p>
      <w:pPr>
        <w:spacing w:after="0" w:line="161"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8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All-In Rate. Notwithstanding any terms in this Agreement to the contrary, if at any time the interest rate applicable to any Obligations is less than 0.0%, such interest rate shall be deemed to be 0.0% for all purposes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outstanding Obligations shall bear interest at a rate per annum which is 3.0%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ind w:firstLine="1304"/>
        <w:spacing w:after="0" w:line="282"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Computation</w:t>
      </w:r>
      <w:r>
        <w:rPr>
          <w:rFonts w:ascii="Times New Roman" w:cs="Times New Roman" w:eastAsia="Times New Roman" w:hAnsi="Times New Roman"/>
          <w:sz w:val="18"/>
          <w:szCs w:val="18"/>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 Fees. </w:t>
      </w:r>
      <w:r>
        <w:rPr>
          <w:rFonts w:ascii="Times New Roman" w:cs="Times New Roman" w:eastAsia="Times New Roman" w:hAnsi="Times New Roman"/>
          <w:sz w:val="18"/>
          <w:szCs w:val="18"/>
          <w:color w:val="auto"/>
        </w:rPr>
        <w:t>Borrower shall pay to Bank:</w:t>
      </w:r>
    </w:p>
    <w:p>
      <w:pPr>
        <w:spacing w:after="0" w:line="229" w:lineRule="exact"/>
        <w:rPr>
          <w:sz w:val="20"/>
          <w:szCs w:val="20"/>
          <w:color w:val="auto"/>
        </w:rPr>
      </w:pPr>
    </w:p>
    <w:p>
      <w:pPr>
        <w:ind w:left="1540" w:hanging="236"/>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which shall be fully earned and non-refundable as of such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which shall be fully earned and non-refundable as of such date;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incurred through and after the Effective Date, when due (or, if no stated due date, upon demand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Bank).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Payments; Application of Payments; Debit of Accounts.</w:t>
      </w:r>
    </w:p>
    <w:p>
      <w:pPr>
        <w:spacing w:after="0" w:line="229" w:lineRule="exact"/>
        <w:rPr>
          <w:sz w:val="20"/>
          <w:szCs w:val="20"/>
          <w:color w:val="auto"/>
        </w:rPr>
      </w:pPr>
    </w:p>
    <w:p>
      <w:pPr>
        <w:jc w:val="both"/>
        <w:ind w:firstLine="1304"/>
        <w:spacing w:after="0" w:line="261" w:lineRule="auto"/>
        <w:tabs>
          <w:tab w:leader="none" w:pos="15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Borrower under any Loan Document shall be made in immediately available funds in Dollars, without setoff, counterclaim, or deduction,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the right to determine in its commercially reasonable discretion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b w:val="1"/>
          <w:bCs w:val="1"/>
          <w:color w:val="auto"/>
        </w:rPr>
        <w:t>1.5 Change in Circumstances.</w:t>
      </w:r>
    </w:p>
    <w:p>
      <w:pPr>
        <w:spacing w:after="0" w:line="229" w:lineRule="exact"/>
        <w:rPr>
          <w:sz w:val="20"/>
          <w:szCs w:val="20"/>
          <w:color w:val="auto"/>
        </w:rPr>
      </w:pPr>
    </w:p>
    <w:p>
      <w:pPr>
        <w:jc w:val="both"/>
        <w:ind w:firstLine="1304"/>
        <w:spacing w:after="0" w:line="254"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Bank to demand compensation pursuant to this Section 1.5 shall not constitute a waiver of Bank’s right to demand such compensation; provided that Borrower shall not be required to compensate Bank pursuant to subsection (a) for any increased costs incurred or reductions suffered more than 9 months prior to the date that Bank notifies Borrower of the Change in Law giving rise to such increased costs or reductions (except that if the Change in Law giving rise to such increased costs or reductions is retroactive, then the 9-month period shall be extended to include the period of retroactive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1.6 Taxes.</w:t>
      </w:r>
    </w:p>
    <w:p>
      <w:pPr>
        <w:spacing w:after="0" w:line="229" w:lineRule="exact"/>
        <w:rPr>
          <w:sz w:val="20"/>
          <w:szCs w:val="20"/>
          <w:color w:val="auto"/>
        </w:rPr>
      </w:pPr>
    </w:p>
    <w:p>
      <w:pPr>
        <w:jc w:val="both"/>
        <w:ind w:firstLine="1304"/>
        <w:spacing w:after="0" w:line="255"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Borrower under any Loan Document shall be made without deduction or withholding for any Taxes, except as required by Applicable Law. If any Applicable Law (as determined in the good-faith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Borrower</w:t>
      </w:r>
      <w:r>
        <w:rPr>
          <w:rFonts w:ascii="Times New Roman" w:cs="Times New Roman" w:eastAsia="Times New Roman" w:hAnsi="Times New Roman"/>
          <w:sz w:val="18"/>
          <w:szCs w:val="18"/>
          <w:color w:val="auto"/>
        </w:rPr>
        <w:t>. Without limiting the provisions of subsection (a) above,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 Without limiting the provisions of subsections (a) and (b) above, Borrower shall, and does hereby, indemnify Bank, within 30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both"/>
        <w:ind w:firstLine="1304"/>
        <w:spacing w:after="0" w:line="255"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Bank</w:t>
      </w:r>
      <w:r>
        <w:rPr>
          <w:rFonts w:ascii="Times New Roman" w:cs="Times New Roman" w:eastAsia="Times New Roman" w:hAnsi="Times New Roman"/>
          <w:sz w:val="18"/>
          <w:szCs w:val="18"/>
          <w:color w:val="auto"/>
        </w:rPr>
        <w:t>. If Bank (including any assignee or successor) is entitled to an exemption from or reduction of withholding tax with respect to payments made under any Loan Document, Bank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 Procedures for Borrowing.</w:t>
      </w:r>
    </w:p>
    <w:p>
      <w:pPr>
        <w:spacing w:after="0" w:line="229" w:lineRule="exact"/>
        <w:rPr>
          <w:sz w:val="20"/>
          <w:szCs w:val="20"/>
          <w:color w:val="auto"/>
        </w:rPr>
      </w:pPr>
    </w:p>
    <w:p>
      <w:pPr>
        <w:jc w:val="both"/>
        <w:ind w:firstLine="1304"/>
        <w:spacing w:after="0" w:line="254"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Subject to the prior satisfaction of all other applicable conditions to the making of a Term Loan Advance set forth in this Agreement (which must be satisfied no later than 12:00 p.m. Eastern time on the applicable Funding Date), to obtain a Term Loan Advance, Borrower (via an individual duly authorized by an Administrator) shall notify Bank (which notice shall be irrevocable) by 12:00 p.m. Eastern time at least 2 Business Days prior to the Funding Date of the Term Loan Advance. Such notice shall be made by electronic mail or by telephone and, together with any such notification, Borrower shall deliver to Bank by electronic mail a completed Payment/Advance Form executed by an Authorized Signer and such other reports and information as Bank may reasonably request. Bank may rely on any telephone notice given by a person whom Bank believes is an Authorized Signer. Borrower will indemnify Bank for any loss Bank suffers due to such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credit proceeds of a Credit Extension to the Designated Deposit Account. Bank may make Advances and Term Loan Advances under this Agreement based on instructions from an Authorized Signer or without instructions if such Advances or Term Loan Advances are necessary to meet Obligations which have become due.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u w:val="single" w:color="auto"/>
          <w:color w:val="auto"/>
        </w:rPr>
        <w:t>CONDITIONS OF CREDIT EXTENSIONS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Conditions Precedent to Initial Credit Extension. </w:t>
      </w:r>
      <w:r>
        <w:rPr>
          <w:rFonts w:ascii="Times New Roman" w:cs="Times New Roman" w:eastAsia="Times New Roman" w:hAnsi="Times New Roman"/>
          <w:sz w:val="18"/>
          <w:szCs w:val="18"/>
          <w:color w:val="auto"/>
        </w:rPr>
        <w:t>Bank’s obligation to make the initial Credit Extension is subject to the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that Bank shall have received, in form and substance satisfactory to Bank, such documents, and completion of such other matters, as Bank may reasonably deem necessary or appropriate, including, without limitation:</w:t>
      </w:r>
    </w:p>
    <w:p>
      <w:pPr>
        <w:spacing w:after="0" w:line="175" w:lineRule="exact"/>
        <w:rPr>
          <w:sz w:val="20"/>
          <w:szCs w:val="20"/>
          <w:color w:val="auto"/>
        </w:rPr>
      </w:pPr>
    </w:p>
    <w:p>
      <w:pPr>
        <w:ind w:left="1540" w:hanging="236"/>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Loan Documents;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Documents of Borrower and long-form good standing certificates of Borrower certified by the Secretary of State of the State of Delaware and the Secretary of State of the State of New Jersey, in which Borrower is qualified to conduct business, in each case as of a date no earlier than 30 days prior to the Effective Date;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duly executed by a Responsible Officer or secretary of Borrower with respect to Borrower’s (i) Operating Documents and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Resolutions;</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payoff letter from Horizon Finance;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a recent date, of searches for financing statements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Account shall have been opened and the Minimum Threshold Amount shall have been deposited therein;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ind w:firstLine="1304"/>
        <w:spacing w:after="0" w:line="266" w:lineRule="auto"/>
        <w:tabs>
          <w:tab w:leader="none" w:pos="15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(i) the Liens securing Indebtedness owed by Borrower to Horizon Finance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Perfection Certificate of Borrower;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Cash Pledge Agreement, in form and substance acceptable to Bank;</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Bank that the insurance policies required by Section 5.6 hereof are in full force and effect;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Bank Expenses then due as specified in Section 1.3 hereof.</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Conditions Precedent to All Credit Extensions. </w:t>
      </w:r>
      <w:r>
        <w:rPr>
          <w:rFonts w:ascii="Times New Roman" w:cs="Times New Roman" w:eastAsia="Times New Roman" w:hAnsi="Times New Roman"/>
          <w:sz w:val="18"/>
          <w:szCs w:val="18"/>
          <w:color w:val="auto"/>
        </w:rPr>
        <w:t>Bank’s obligation to make each Credit Extension, including the initial Credit Extension,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conditions precedent: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receipt of Borrower’s Credit Extension request and the related materials and documents as required by and in accordance with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7" w:lineRule="exact"/>
        <w:rPr>
          <w:sz w:val="20"/>
          <w:szCs w:val="20"/>
          <w:color w:val="auto"/>
        </w:rPr>
      </w:pPr>
    </w:p>
    <w:p>
      <w:pPr>
        <w:jc w:val="both"/>
        <w:ind w:firstLine="1304"/>
        <w:spacing w:after="0" w:line="254" w:lineRule="auto"/>
        <w:tabs>
          <w:tab w:leader="none" w:pos="15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shall not have occurred and be continuing.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Covenant to Deliver. </w:t>
      </w:r>
      <w:r>
        <w:rPr>
          <w:rFonts w:ascii="Times New Roman" w:cs="Times New Roman" w:eastAsia="Times New Roman" w:hAnsi="Times New Roman"/>
          <w:sz w:val="18"/>
          <w:szCs w:val="18"/>
          <w:color w:val="auto"/>
        </w:rPr>
        <w:t>Borrower shall deliver to Bank each item required to be delivered to Bank under this Agreement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CREATION OF SECURITY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 Grant of Security Interest.</w:t>
      </w:r>
    </w:p>
    <w:p>
      <w:pPr>
        <w:spacing w:after="0" w:line="229" w:lineRule="exact"/>
        <w:rPr>
          <w:sz w:val="20"/>
          <w:szCs w:val="20"/>
          <w:color w:val="auto"/>
        </w:rPr>
      </w:pPr>
    </w:p>
    <w:p>
      <w:pPr>
        <w:ind w:firstLine="1304"/>
        <w:spacing w:after="0" w:line="282"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may also be subject to Permitted Liens.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Authorization to File Financing Statements. </w:t>
      </w:r>
      <w:r>
        <w:rPr>
          <w:rFonts w:ascii="Times New Roman" w:cs="Times New Roman" w:eastAsia="Times New Roman" w:hAnsi="Times New Roman"/>
          <w:sz w:val="18"/>
          <w:szCs w:val="18"/>
          <w:color w:val="auto"/>
        </w:rPr>
        <w:t>Borrower hereby authorizes Bank to file financing statements, without notice to Borrower,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jurisdictions deemed necessary or appropriate by Bank to perfect or protect Bank’s interest or rights hereunder, including a notice that any disposition of the Collateral (other than permitted herein), by either Borrower or any other Person, shall be deemed to violate the rights of Bank under the Code. Upon written request by Borrower, Bank shall provide Borrower with filed copies of all financing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3.3 Termination</w:t>
      </w:r>
      <w:r>
        <w:rPr>
          <w:rFonts w:ascii="Times New Roman" w:cs="Times New Roman" w:eastAsia="Times New Roman" w:hAnsi="Times New Roman"/>
          <w:sz w:val="18"/>
          <w:szCs w:val="18"/>
          <w:color w:val="auto"/>
        </w:rPr>
        <w:t>. If this Agreement is terminated, Bank’s Lien in the Collateral shall continue until the Obligations (other than inchoate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are repaid in full in cash. Upon payment in full in cash of the Obligations (other than inchoate indemnity obligations) and at such time as Bank’s obligation to make Credit Extensions has terminated, the security interest of Bank in the Collateral shall automatically terminated without any further action by any Person and all rights therein shall revert to Borrower; and Bank shall, at Borrower’s sole cost and expense, provide payoff and release documentation to evidence the termination of its security interest in the Collateral. In the event (a) all Obligations (other than inchoate indemnity obligations), are satisfied in full, and (b) this Agreement is terminated, Bank shall terminate the security interest granted herein.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represents and warrants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4.1 Due Organization, Authorization; Power and Authority.</w:t>
      </w:r>
    </w:p>
    <w:p>
      <w:pPr>
        <w:spacing w:after="0" w:line="229" w:lineRule="exact"/>
        <w:rPr>
          <w:sz w:val="20"/>
          <w:szCs w:val="20"/>
          <w:color w:val="auto"/>
        </w:rPr>
      </w:pPr>
    </w:p>
    <w:p>
      <w:pPr>
        <w:jc w:val="both"/>
        <w:ind w:firstLine="1304"/>
        <w:spacing w:after="0" w:line="261" w:lineRule="auto"/>
        <w:tabs>
          <w:tab w:leader="none" w:pos="15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are each duly existing and in good standing as a Registered Organization in their respective jurisdiction of formation and are qualified and licensed to do business and are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set forth on the Perfection Certificate pertaining to Borrower and each of its Subsidiaries is true and correct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they are parties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and except as could not reasonably be expected to have a material adverse effect on Borrower’s business or operations, or (v) conflict with, contravene, constitute a default or breach under, or result in or permit the termination or acceleration of, any material agreement by which Borrower or any of its Subsidiaries is bound. Neither Borrower nor any of the Guarantors are in default under any agreement to which it is a party or by which it is bound in which the default could reasonably be expected to have a material adverse effect on Borrower’s or any of the Guarantors’ business or operations.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 Collateral.</w:t>
      </w:r>
    </w:p>
    <w:p>
      <w:pPr>
        <w:spacing w:after="0" w:line="229" w:lineRule="exact"/>
        <w:rPr>
          <w:sz w:val="20"/>
          <w:szCs w:val="20"/>
          <w:color w:val="auto"/>
        </w:rPr>
      </w:pPr>
    </w:p>
    <w:p>
      <w:pPr>
        <w:jc w:val="both"/>
        <w:ind w:firstLine="1304"/>
        <w:spacing w:after="0" w:line="266" w:lineRule="auto"/>
        <w:tabs>
          <w:tab w:leader="none" w:pos="15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no Collateral Accounts at or with any bank or financial institution other than Bank or Bank’s Affiliates except for the Collateral Accounts described in the Perfection Certificate delivered to Bank in connection herewith.</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is not in the possession of any third-party bailee (such as a warehouse) except as otherwise provided in the Perfection Certificate or as permitted pursuant to Section 6.2. None of the components of the Collateral shall be maintained at locations other than as provided in the Perfection Certificate or as permitted pursuant to Section 6.2.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Litigation. </w:t>
      </w:r>
      <w:r>
        <w:rPr>
          <w:rFonts w:ascii="Times New Roman" w:cs="Times New Roman" w:eastAsia="Times New Roman" w:hAnsi="Times New Roman"/>
          <w:sz w:val="18"/>
          <w:szCs w:val="18"/>
          <w:color w:val="auto"/>
        </w:rPr>
        <w:t>Other than as set forth in the Perfection Certificate or as disclosed to Bank pursuant to Section 5.3(h),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any Responsible Officer, threatened in writing by or against Borrower or any of its Subsidiaries involving more than, individually or in the aggregate, $150,000.00.</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 Financial Statements; Financial Condition. </w:t>
      </w:r>
      <w:r>
        <w:rPr>
          <w:rFonts w:ascii="Times New Roman" w:cs="Times New Roman" w:eastAsia="Times New Roman" w:hAnsi="Times New Roman"/>
          <w:sz w:val="18"/>
          <w:szCs w:val="18"/>
          <w:color w:val="auto"/>
        </w:rPr>
        <w:t>All consolidated financial statements for Borrower and any of its Subsidiaries delivered to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4.5 Solvency. </w:t>
      </w:r>
      <w:r>
        <w:rPr>
          <w:rFonts w:ascii="Times New Roman" w:cs="Times New Roman" w:eastAsia="Times New Roman" w:hAnsi="Times New Roman"/>
          <w:sz w:val="18"/>
          <w:szCs w:val="18"/>
          <w:color w:val="auto"/>
        </w:rPr>
        <w:t>The fair salable value of Borrower’s consolidated assets (including goodwill minus disposition costs) exceeds the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liabilities; Borrower is not left with unreasonably small capital after the transactions in this Agreement; and Borrower and each of its Subsidiaries are able to pay their debts on a consolidated basis (including trade debts) as they mature.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4.6 Regulatory Compliance. </w:t>
      </w:r>
      <w:r>
        <w:rPr>
          <w:rFonts w:ascii="Times New Roman" w:cs="Times New Roman" w:eastAsia="Times New Roman" w:hAnsi="Times New Roman"/>
          <w:sz w:val="18"/>
          <w:szCs w:val="18"/>
          <w:color w:val="auto"/>
        </w:rPr>
        <w:t>Borrower is not an “investment company” or a company “controlled” by an “investment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except where it could not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4.7 Subsidiaries; Investments. </w:t>
      </w:r>
      <w:r>
        <w:rPr>
          <w:rFonts w:ascii="Times New Roman" w:cs="Times New Roman" w:eastAsia="Times New Roman" w:hAnsi="Times New Roman"/>
          <w:sz w:val="18"/>
          <w:szCs w:val="18"/>
          <w:color w:val="auto"/>
        </w:rPr>
        <w:t>Borrower does not own any stock, partnership, or other ownership interest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4.8 Tax Returns and Payments; Pension Contributions.</w:t>
      </w:r>
    </w:p>
    <w:p>
      <w:pPr>
        <w:spacing w:after="0" w:line="229" w:lineRule="exact"/>
        <w:rPr>
          <w:sz w:val="20"/>
          <w:szCs w:val="20"/>
          <w:color w:val="auto"/>
        </w:rPr>
      </w:pPr>
    </w:p>
    <w:p>
      <w:pPr>
        <w:jc w:val="both"/>
        <w:ind w:firstLine="1304"/>
        <w:spacing w:after="0" w:line="255" w:lineRule="auto"/>
        <w:tabs>
          <w:tab w:leader="none" w:pos="154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taxes, assessments, deposits, and contributions do not, individually or in the aggregate, exceed $50,000.00. Borrower is unaware of any claims or adjustments proposed for any of Borrower’s or any of its Subsidiary’s prior tax years which could result in additional taxes becoming due and payable by Borrower or any of its Subsidiaries in excess of $50,000.00 in the aggregate.</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4.9 Full Disclosure. </w:t>
      </w:r>
      <w:r>
        <w:rPr>
          <w:rFonts w:ascii="Times New Roman" w:cs="Times New Roman" w:eastAsia="Times New Roman" w:hAnsi="Times New Roman"/>
          <w:sz w:val="18"/>
          <w:szCs w:val="18"/>
          <w:color w:val="auto"/>
        </w:rPr>
        <w:t>No written representation, warranty, or other statement of Borrower or any of its Subsidiaries in any report,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4.10 Sanctions. </w:t>
      </w:r>
      <w:r>
        <w:rPr>
          <w:rFonts w:ascii="Times New Roman" w:cs="Times New Roman" w:eastAsia="Times New Roman" w:hAnsi="Times New Roman"/>
          <w:sz w:val="18"/>
          <w:szCs w:val="18"/>
          <w:color w:val="auto"/>
        </w:rPr>
        <w:t>Neither Borrower nor any of its Subsidiaries is: (a) in violation of any Sanctions; or (b) a Sanctioned Person. Neither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do all of the following: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 Use of Proceeds. </w:t>
      </w:r>
      <w:r>
        <w:rPr>
          <w:rFonts w:ascii="Times New Roman" w:cs="Times New Roman" w:eastAsia="Times New Roman" w:hAnsi="Times New Roman"/>
          <w:sz w:val="18"/>
          <w:szCs w:val="18"/>
          <w:color w:val="auto"/>
        </w:rPr>
        <w:t>Cause the proceeds of the Credit Extensions to be used solely (a) to repay the Horizon Obligations, (b) as working capital or</w:t>
      </w:r>
    </w:p>
    <w:p>
      <w:pPr>
        <w:spacing w:after="0" w:line="31"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its general business and corporate purposes, and not for personal, family, household or agricultural purposes.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5.2 Government Compliance.</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of the Governmental Approvals necessary for the performance by Borrower and each of its Subsidiaries of their obligations under the Loan Documents to which they are parties, including any grant of a security interest in the Collateral to Bank. Borrower shall promptly provide copies of any such obtained Governmental Approvals to Bank.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5.3 Financial Statements, Reports. </w:t>
      </w:r>
      <w:r>
        <w:rPr>
          <w:rFonts w:ascii="Times New Roman" w:cs="Times New Roman" w:eastAsia="Times New Roman" w:hAnsi="Times New Roman"/>
          <w:sz w:val="18"/>
          <w:szCs w:val="18"/>
          <w:color w:val="auto"/>
        </w:rPr>
        <w:t>Deliver to Bank by submitting to the Financial Statement Repository:</w:t>
      </w:r>
    </w:p>
    <w:p>
      <w:pPr>
        <w:spacing w:after="0" w:line="229" w:lineRule="exact"/>
        <w:rPr>
          <w:sz w:val="20"/>
          <w:szCs w:val="20"/>
          <w:color w:val="auto"/>
        </w:rPr>
      </w:pPr>
    </w:p>
    <w:p>
      <w:pPr>
        <w:jc w:val="both"/>
        <w:ind w:right="20" w:firstLine="1304"/>
        <w:spacing w:after="0" w:line="266"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Compliance Statement</w:t>
      </w:r>
      <w:r>
        <w:rPr>
          <w:rFonts w:ascii="Times New Roman" w:cs="Times New Roman" w:eastAsia="Times New Roman" w:hAnsi="Times New Roman"/>
          <w:sz w:val="18"/>
          <w:szCs w:val="18"/>
          <w:color w:val="auto"/>
        </w:rPr>
        <w:t>. Within 45 days after the last day of each fiscal quarter and together with the statements set forth in Section 5.3(b), a duly completed Compliance Statement, confirming that, as of the end of such fiscal quarter, Borrower was in full compliance with all of the terms and conditions of this Agreement, and such other information as Bank may reasonably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both"/>
        <w:ind w:firstLine="1304"/>
        <w:spacing w:after="0" w:line="266" w:lineRule="auto"/>
        <w:tabs>
          <w:tab w:leader="none" w:pos="15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10-Q reports</w:t>
      </w:r>
      <w:r>
        <w:rPr>
          <w:rFonts w:ascii="Times New Roman" w:cs="Times New Roman" w:eastAsia="Times New Roman" w:hAnsi="Times New Roman"/>
          <w:sz w:val="18"/>
          <w:szCs w:val="18"/>
          <w:color w:val="auto"/>
        </w:rPr>
        <w:t>. Within 45 days after the end of the first three fiscal quarters of Borrower, a company prepared consolidated balance sheet and income statement covering Borrower’s consolidated operations for such quarter, consistent with such quarterly financial statements submitted to the SEC, in a form acceptable to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Within 90 days after the end of each fiscal year of Borrower, and contemporaneously with any updates or amendments thereto, (A) annual operating budgets (including income statements, balance sheets, and cash flow statements, by month) for the current fiscal year of Borrower, and (B) annual financial projections for the current fiscal year (on a quarterly basis), in each case as approved by the Board, together with any related business forecasts used in the preparation of such annual financial projections;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10-K Reports and Annual Audited Financial Statements</w:t>
      </w:r>
      <w:r>
        <w:rPr>
          <w:rFonts w:ascii="Times New Roman" w:cs="Times New Roman" w:eastAsia="Times New Roman" w:hAnsi="Times New Roman"/>
          <w:sz w:val="18"/>
          <w:szCs w:val="18"/>
          <w:color w:val="auto"/>
        </w:rPr>
        <w:t>. As soon as available, and in any event within 90 days following the end of Borrower’s fiscal year, Borrower’s 10-K report, together with audited consolidated financial statements prepared under GAAP, consistently applied, together with an unqualified opinion on the financial statements from an independent certified public accounting firm reasonably acceptable to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Promptly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promptly notify Bank in writing (which may be by electronic mail) of the posting of any such documents;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2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Holder and Subordinated Debt Holder Reports</w:t>
      </w:r>
      <w:r>
        <w:rPr>
          <w:rFonts w:ascii="Times New Roman" w:cs="Times New Roman" w:eastAsia="Times New Roman" w:hAnsi="Times New Roman"/>
          <w:sz w:val="18"/>
          <w:szCs w:val="18"/>
          <w:color w:val="auto"/>
        </w:rPr>
        <w:t>. Promptly upon delivery, copies of all material statements, reports, and notices generally made available to Borrower’s security holders or to any holders of Subordinated Debt (solely in their capacities as security holders or holders of Subordinated Debt and not in any other role);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Information</w:t>
      </w:r>
      <w:r>
        <w:rPr>
          <w:rFonts w:ascii="Times New Roman" w:cs="Times New Roman" w:eastAsia="Times New Roman" w:hAnsi="Times New Roman"/>
          <w:sz w:val="18"/>
          <w:szCs w:val="18"/>
          <w:color w:val="auto"/>
        </w:rPr>
        <w:t>. If applicable to Borrower, upon request by Bank, Borrower shall provide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$150,000.00 or more;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Tort Claim Notice</w:t>
      </w:r>
      <w:r>
        <w:rPr>
          <w:rFonts w:ascii="Times New Roman" w:cs="Times New Roman" w:eastAsia="Times New Roman" w:hAnsi="Times New Roman"/>
          <w:sz w:val="18"/>
          <w:szCs w:val="18"/>
          <w:color w:val="auto"/>
        </w:rPr>
        <w:t>. If Borrower shall acquire a commercial tort claim in excess of $150,000.00,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Filings</w:t>
      </w:r>
      <w:r>
        <w:rPr>
          <w:rFonts w:ascii="Times New Roman" w:cs="Times New Roman" w:eastAsia="Times New Roman" w:hAnsi="Times New Roman"/>
          <w:sz w:val="18"/>
          <w:szCs w:val="18"/>
          <w:color w:val="auto"/>
        </w:rPr>
        <w:t>. Promptly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adverse effect on any of the Governmental Approvals or otherwise on the business of Borrower or any of its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firstLine="1304"/>
        <w:spacing w:after="0" w:line="282"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Organization</w:t>
      </w:r>
      <w:r>
        <w:rPr>
          <w:rFonts w:ascii="Times New Roman" w:cs="Times New Roman" w:eastAsia="Times New Roman" w:hAnsi="Times New Roman"/>
          <w:sz w:val="18"/>
          <w:szCs w:val="18"/>
          <w:color w:val="auto"/>
        </w:rPr>
        <w:t>. If Borrower is not a Registered Organization as of the Effective Date but later becomes one, promptly notify Bank of such occurrence and provide Bank with Borrower’s organizational identification number;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 written notice of the occurrence of a Default or Event of Default;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from time to time, such other information regarding Borrower or any of its Subsidiaries or compliance with the terms of any Loan Documents as reasonably requested by Bank.</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5.4 Taxes; Pensions.</w:t>
      </w:r>
    </w:p>
    <w:p>
      <w:pPr>
        <w:spacing w:after="0" w:line="229" w:lineRule="exact"/>
        <w:rPr>
          <w:sz w:val="20"/>
          <w:szCs w:val="20"/>
          <w:color w:val="auto"/>
        </w:rPr>
      </w:pPr>
    </w:p>
    <w:p>
      <w:pPr>
        <w:jc w:val="both"/>
        <w:ind w:firstLine="1304"/>
        <w:spacing w:after="0" w:line="256" w:lineRule="auto"/>
        <w:tabs>
          <w:tab w:leader="none" w:pos="15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(i) taxes that do not exceed $50,000.00 and (ii) deferred payment of any taxes contested pursuant to the terms of Section 4.8(a)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Borrower or any of its Subsidiaries defers payment of any contested taxes, the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Access to Collateral; Books and Records. </w:t>
      </w:r>
      <w:r>
        <w:rPr>
          <w:rFonts w:ascii="Times New Roman" w:cs="Times New Roman" w:eastAsia="Times New Roman" w:hAnsi="Times New Roman"/>
          <w:sz w:val="18"/>
          <w:szCs w:val="18"/>
          <w:color w:val="auto"/>
        </w:rPr>
        <w:t>At reasonable times, on five (5) Business Days’ prior notice (provided no notice is required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has occurred and is continuing), Bank, or its agents, shall have the right to inspect the Collateral and the right to audit and copy Borrower’s Books. Such inspections and audits shall be conducted no more often than once every 12 months, unless an Event of Default has occurred and is continuing, in which case such inspections and audits shall occur as often as Bank shall determine is necessary. The foregoing inspections and audits shall be conducted at Borrower’s expense and the charge therefor shall be $1,000.00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$2,000.00 plus any out-of-pocket expenses incurred by Bank to compensate Bank for the anticipated costs and expenses of the cancellation or rescheduling.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b w:val="1"/>
          <w:bCs w:val="1"/>
          <w:color w:val="auto"/>
        </w:rPr>
        <w:t>5.6 Insurance.</w:t>
      </w:r>
    </w:p>
    <w:p>
      <w:pPr>
        <w:spacing w:after="0" w:line="229" w:lineRule="exact"/>
        <w:rPr>
          <w:sz w:val="20"/>
          <w:szCs w:val="20"/>
          <w:color w:val="auto"/>
        </w:rPr>
      </w:pPr>
    </w:p>
    <w:p>
      <w:pPr>
        <w:jc w:val="both"/>
        <w:ind w:firstLine="1304"/>
        <w:spacing w:after="0" w:line="266" w:lineRule="auto"/>
        <w:tabs>
          <w:tab w:leader="none" w:pos="15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liability policies (other than D&amp;O liability insurance, worker’s compensation insurance and business interruption insurance) shall show, or have endorsements showing, Bank as an additional insured.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proceeds of any casualty policy up to $100,000.00 with respect to any loss, but not exceeding $200,000.00 in the aggregate for all losses under all casualty policies in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Bank’s request, Borrower shall deliver certified copies of insurance policies and evidence of all premium payments. Each provider of any such insurance required under this Section 5.5 shall agree, by endorsement upon the policy or policies issued by it or by independent instruments furnished to Bank, that it will give Bank 30 days’ prior written notice before any such policy or policies shall be canceled or altered in any material respect. If Borrower fails to obtain insurance as required under this Section 5.5 or to pay any amount or furnish any required proof of payment to third persons and Bank, Bank may make all or part of such payment or obtain such insurance policies required in this Section 5.5, and take any action under the policies Bank deems prudent.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5.7 Accounts.</w:t>
      </w:r>
    </w:p>
    <w:p>
      <w:pPr>
        <w:spacing w:after="0" w:line="229" w:lineRule="exact"/>
        <w:rPr>
          <w:sz w:val="20"/>
          <w:szCs w:val="20"/>
          <w:color w:val="auto"/>
        </w:rPr>
      </w:pPr>
    </w:p>
    <w:p>
      <w:pPr>
        <w:jc w:val="both"/>
        <w:ind w:firstLine="1304"/>
        <w:spacing w:after="0" w:line="258" w:lineRule="auto"/>
        <w:tabs>
          <w:tab w:leader="none" w:pos="15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of Borrower’s, any of its Subsidiaries’, and any Guarantor’s operating accounts with Bank. In addition to the foregoing, Borrower shall, at all times have on deposit as cash collateral in a segregated money market bank account (the “</w:t>
      </w:r>
      <w:r>
        <w:rPr>
          <w:rFonts w:ascii="Times New Roman" w:cs="Times New Roman" w:eastAsia="Times New Roman" w:hAnsi="Times New Roman"/>
          <w:sz w:val="18"/>
          <w:szCs w:val="18"/>
          <w:b w:val="1"/>
          <w:bCs w:val="1"/>
          <w:color w:val="auto"/>
        </w:rPr>
        <w:t>Cash Collateral Account</w:t>
      </w:r>
      <w:r>
        <w:rPr>
          <w:rFonts w:ascii="Times New Roman" w:cs="Times New Roman" w:eastAsia="Times New Roman" w:hAnsi="Times New Roman"/>
          <w:sz w:val="18"/>
          <w:szCs w:val="18"/>
          <w:color w:val="auto"/>
        </w:rPr>
        <w:t>”) in the name of Borrower and maintained with Bank, unrestricted and unencumbered cash (other than lien in favor of Bank) in an amount of at least 100% of the aggregate outstanding amount of the Term Loan Advances (the “</w:t>
      </w:r>
      <w:r>
        <w:rPr>
          <w:rFonts w:ascii="Times New Roman" w:cs="Times New Roman" w:eastAsia="Times New Roman" w:hAnsi="Times New Roman"/>
          <w:sz w:val="18"/>
          <w:szCs w:val="18"/>
          <w:b w:val="1"/>
          <w:bCs w:val="1"/>
          <w:color w:val="auto"/>
        </w:rPr>
        <w:t>Minimum Threshold Amount</w:t>
      </w:r>
      <w:r>
        <w:rPr>
          <w:rFonts w:ascii="Times New Roman" w:cs="Times New Roman" w:eastAsia="Times New Roman" w:hAnsi="Times New Roman"/>
          <w:sz w:val="18"/>
          <w:szCs w:val="18"/>
          <w:color w:val="auto"/>
        </w:rPr>
        <w:t>”). Bank may restrict withdrawals or transfers by or on behalf of Borrower that would violate this Section 5.7(a) regardless of whether an Event of Default exists at such time.</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Borrower, any Subsidiary of Borrower, and any Guarantor shall obtain any letter of credit exclusively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Bank.</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limiting the restrictions in (a), Borrower shall provide Bank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5.8 Protection of Intellectual Property Rights. </w:t>
      </w:r>
      <w:r>
        <w:rPr>
          <w:rFonts w:ascii="Times New Roman" w:cs="Times New Roman" w:eastAsia="Times New Roman" w:hAnsi="Times New Roman"/>
          <w:sz w:val="18"/>
          <w:szCs w:val="18"/>
          <w:color w:val="auto"/>
        </w:rPr>
        <w:t>(i) Protect, defend, and maintain the validity and enforceability of Borrower’s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Borrower’s and each Subsidiary’s Intellectual Property material to Borrower’s business; and (iii) not allow any Intellectual Property material to Borrower’s or any Subsidiary’s business to be abandoned, forfeited, or dedicated to the public without Bank’s written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5.9 Litigation Cooperation. </w:t>
      </w:r>
      <w:r>
        <w:rPr>
          <w:rFonts w:ascii="Times New Roman" w:cs="Times New Roman" w:eastAsia="Times New Roman" w:hAnsi="Times New Roman"/>
          <w:sz w:val="18"/>
          <w:szCs w:val="18"/>
          <w:color w:val="auto"/>
        </w:rPr>
        <w:t>From the date hereof and continuing through the termination of this Agreement, make available to Bank (and if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exists, during normal business hours),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5.10 Formation or Acquisition of Subsidiaries. </w:t>
      </w:r>
      <w:r>
        <w:rPr>
          <w:rFonts w:ascii="Times New Roman" w:cs="Times New Roman" w:eastAsia="Times New Roman" w:hAnsi="Times New Roman"/>
          <w:sz w:val="18"/>
          <w:szCs w:val="18"/>
          <w:color w:val="auto"/>
        </w:rPr>
        <w:t>Notwithstanding and without limiting the negative covenants contained in Sections 6.3 and 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within 14 Business Days (or such longer period as Bank may agree in writing in its sole and absolute discretion) after the date that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w:t>
      </w:r>
    </w:p>
    <w:p>
      <w:pPr>
        <w:spacing w:after="0" w:line="4" w:lineRule="exact"/>
        <w:rPr>
          <w:sz w:val="20"/>
          <w:szCs w:val="20"/>
          <w:color w:val="auto"/>
        </w:rPr>
      </w:pPr>
    </w:p>
    <w:p>
      <w:pPr>
        <w:jc w:val="both"/>
        <w:ind w:firstLine="8"/>
        <w:spacing w:after="0" w:line="253" w:lineRule="auto"/>
        <w:tabs>
          <w:tab w:leader="none" w:pos="27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Any document, agreement, or instrument executed or issued pursuant to this Section 5.10 shall be a Loan Document. Notwithstanding the foregoing, as of the Effective Date and thereafter, CLSN Laboratories, Inc. shall not be a co-Borrower or Guarantor hereunder.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5.11 Inventory; Returns. </w:t>
      </w:r>
      <w:r>
        <w:rPr>
          <w:rFonts w:ascii="Times New Roman" w:cs="Times New Roman" w:eastAsia="Times New Roman" w:hAnsi="Times New Roman"/>
          <w:sz w:val="18"/>
          <w:szCs w:val="18"/>
          <w:color w:val="auto"/>
        </w:rPr>
        <w:t>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and its Account Debtors shall follow Borrower’s customary practices in the ordinary course. Borrower shall promptly notify Bank of all returns, recoveries, disputes, and claims that involve more than $150,000.00.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5.12 Further Assurances. </w:t>
      </w:r>
      <w:r>
        <w:rPr>
          <w:rFonts w:ascii="Times New Roman" w:cs="Times New Roman" w:eastAsia="Times New Roman" w:hAnsi="Times New Roman"/>
          <w:sz w:val="18"/>
          <w:szCs w:val="18"/>
          <w:color w:val="auto"/>
        </w:rPr>
        <w:t>Execute any further instruments and take such further action as Bank reasonably requests to perfect, protect, ensure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of, or continue Bank’s Lien on the Collateral or to effect the purposes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5.13 Sanctions</w:t>
      </w:r>
      <w:r>
        <w:rPr>
          <w:rFonts w:ascii="Times New Roman" w:cs="Times New Roman" w:eastAsia="Times New Roman" w:hAnsi="Times New Roman"/>
          <w:sz w:val="18"/>
          <w:szCs w:val="18"/>
          <w:color w:val="auto"/>
        </w:rPr>
        <w:t>. (a) Not, and not permit any of its Subsidiaries to, engage in any of the activities described in Section 4.10 in the future; (b)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5.13. In addition, have implemented, and will consistently apply while this Agreement is in effect, procedures to ensure that the representations and warranties in Section 4.10 remain true and correct while this Agreement is in effect.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5.14 Post-Closing Matters</w:t>
      </w:r>
      <w:r>
        <w:rPr>
          <w:rFonts w:ascii="Times New Roman" w:cs="Times New Roman" w:eastAsia="Times New Roman" w:hAnsi="Times New Roman"/>
          <w:sz w:val="18"/>
          <w:szCs w:val="18"/>
          <w:color w:val="auto"/>
        </w:rPr>
        <w:t>. Deliver to Bank, within thirty (30) days of the Effective Date, in form and substance acceptable to Bank,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insurance indorsements required by Section 5.6 hereof are in full force and effect, together with additional insured clauses or endorsements in favor of Bank.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not do any of the following without Bank’s prior written consent: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(f) of non-exclusive licenses, sublicenses, and cross-licenses for the use of the property of Borrower or its Subsidiaries in the ordinary course of business; and (g) transfers from Borrower to another Borrower or a secured Guarantor.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Changes in Business, Management, Control,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currently engaged in by Borrower and such Subsidiary, as applicable, or reasonably related or incidental thereto; (b) liquidate or dissolve or permit any of its Subsidiaries to liquidate or dissolve (except that a Subsidiary may liquidate or dissolve, provided that all assets of such Subsidiary are transferred to Borrower or another Subsidiary); (c) fail to provide notice to Bank of any Key Person departing from or ceasing to be employed by Borrower within 10 Business Days after such Key Person’s departure from Borrower; and (d) permit, allow, or suffer to occur any Change in Control. Borrower shall not without at least 10 days’ prior written notice (or such shorter notice as Bank may agree in writing in its sole and absolute discretion) to Bank, (i) add any new offices or business locations, including warehouses (unless such new offices or business locations contain less than $100,000.00 in Borrower’s assets or property) or deliver any portion of the Collateral valued, individually or in the aggregate, in excess of $100,000.00 to a bailee at a location other than to a bailee and at a location already disclosed in the Perfection Certificate, (ii) change its jurisdiction of organization, (iii) change its organizational structure or type, or (iv) change its legal name.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 Indebtedness.</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6.5 Encumbrance. </w:t>
      </w:r>
      <w:r>
        <w:rPr>
          <w:rFonts w:ascii="Times New Roman" w:cs="Times New Roman" w:eastAsia="Times New Roman" w:hAnsi="Times New Roman"/>
          <w:sz w:val="18"/>
          <w:szCs w:val="18"/>
          <w:color w:val="auto"/>
        </w:rPr>
        <w:t>Create, incur, allow, or suffer to exist any Lien on any of its property, or assign or convey any right to receive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sale of any Accounts, or permit any of its Subsidiaries to do so, except for Permitted Liens, permit any Collateral not to be subject to the first priority security interest granted 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6.6 Maintenance of Collateral Accounts. </w:t>
      </w:r>
      <w:r>
        <w:rPr>
          <w:rFonts w:ascii="Times New Roman" w:cs="Times New Roman" w:eastAsia="Times New Roman" w:hAnsi="Times New Roman"/>
          <w:sz w:val="18"/>
          <w:szCs w:val="18"/>
          <w:color w:val="auto"/>
        </w:rPr>
        <w:t>Maintain any Collateral Account except pursuant to the terms of Section 5.7(c).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6.7 Distributions; Investments. </w:t>
      </w:r>
      <w:r>
        <w:rPr>
          <w:rFonts w:ascii="Times New Roman" w:cs="Times New Roman" w:eastAsia="Times New Roman" w:hAnsi="Times New Roman"/>
          <w:sz w:val="18"/>
          <w:szCs w:val="18"/>
          <w:color w:val="auto"/>
        </w:rPr>
        <w:t>(a) Pay any dividends or make any distribution or payment, or redeem, retire, or purchase any stock,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or other ownership interest or other equity securities; or (b) directly or indirectly make any Investment (including, without limitation, by the formation of any Subsidiary) other than Permitted Investments, or permit any of its Subsidiaries to do so.</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transactions that are in the ordinary course of Borrower’s business, upon fair and reasonable terms that are no less favorable to Borrower than would be obtained in an arm’s-length transaction with a non-affiliated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6.9 Subordinated Debt. </w:t>
      </w:r>
      <w:r>
        <w:rPr>
          <w:rFonts w:ascii="Times New Roman" w:cs="Times New Roman" w:eastAsia="Times New Roman" w:hAnsi="Times New Roman"/>
          <w:sz w:val="18"/>
          <w:szCs w:val="18"/>
          <w:color w:val="auto"/>
        </w:rPr>
        <w:t>Except as expressly permitted under the terms of the subordination, intercreditor, or other similar agreement to which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Debt is subject: (a) make or permit any payment on such Subordinated Debt; or (b) amend any provision in any document relating to such Subordinated Debt which would increase the principal amount thereof, provide for earlier or greater principal, interest, or other payments thereon, or adversely affect the subordination thereof to Obligations owed to Bank.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6.10 Compliance. </w:t>
      </w:r>
      <w:r>
        <w:rPr>
          <w:rFonts w:ascii="Times New Roman" w:cs="Times New Roman" w:eastAsia="Times New Roman" w:hAnsi="Times New Roman"/>
          <w:sz w:val="18"/>
          <w:szCs w:val="18"/>
          <w:color w:val="auto"/>
        </w:rPr>
        <w:t>(a) Become an “investment company” or a company controlled by an “investment company”, under the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(b) (i)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within 3 Business Days after such Obligations are due and payable (which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7.2 Covenant Default.</w:t>
      </w:r>
    </w:p>
    <w:p>
      <w:pPr>
        <w:spacing w:after="0" w:line="229" w:lineRule="exact"/>
        <w:rPr>
          <w:sz w:val="20"/>
          <w:szCs w:val="20"/>
          <w:color w:val="auto"/>
        </w:rPr>
      </w:pPr>
    </w:p>
    <w:p>
      <w:pPr>
        <w:ind w:firstLine="1304"/>
        <w:spacing w:after="0" w:line="282" w:lineRule="auto"/>
        <w:tabs>
          <w:tab w:leader="none" w:pos="15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any obligation in Section 5 (other than Sections 5.2 (Government Compliance), 5.9 (Litigation Cooperation), 5.11 (Inventory; Returns), and 5.12 (Further Assurances)) or violates any covenant in Section 6;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10 Business Days after the occurrence thereof; provided, however, that if the default cannot by its nature be cured within the 10-Business Day period or cannot after diligent attempts by Borrower be cured within such 10-Business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7.3 Material Adverse Change. </w:t>
      </w:r>
      <w:r>
        <w:rPr>
          <w:rFonts w:ascii="Times New Roman" w:cs="Times New Roman" w:eastAsia="Times New Roman" w:hAnsi="Times New Roman"/>
          <w:sz w:val="18"/>
          <w:szCs w:val="18"/>
          <w:color w:val="auto"/>
        </w:rPr>
        <w:t>A Material Adverse Change occurs;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7.4 Attachment; Levy; Restraint on Business.</w:t>
      </w:r>
    </w:p>
    <w:p>
      <w:pPr>
        <w:spacing w:after="0" w:line="229" w:lineRule="exact"/>
        <w:rPr>
          <w:sz w:val="20"/>
          <w:szCs w:val="20"/>
          <w:color w:val="auto"/>
        </w:rPr>
      </w:pPr>
    </w:p>
    <w:p>
      <w:pPr>
        <w:jc w:val="both"/>
        <w:ind w:firstLine="1304"/>
        <w:spacing w:after="0" w:line="261" w:lineRule="auto"/>
        <w:tabs>
          <w:tab w:leader="none" w:pos="15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Subsidiary in excess of $50,000.00, or (ii) a notice of lien or levy is filed against any of Borrower’s or any of its Subsidiaries’ assets by any Governmental Authority with a value in excess of $50,000.00, and the same under subclauses (i) and (ii) hereof are not, within 10 Business Days after the occurrence thereof, discharged or stayed (whether through the posting of a bond or otherwise); provided, however, no Credit Extensions shall be made during any 10 day cure period; or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7.5 Insolvency. </w:t>
      </w:r>
      <w:r>
        <w:rPr>
          <w:rFonts w:ascii="Times New Roman" w:cs="Times New Roman" w:eastAsia="Times New Roman" w:hAnsi="Times New Roman"/>
          <w:sz w:val="18"/>
          <w:szCs w:val="18"/>
          <w:color w:val="auto"/>
        </w:rPr>
        <w:t>(a) Borrower is unable to pay its debts (including trade debts) as they become due or otherwise becomes insolvent; (b)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begins an Insolvency Proceeding; or (c) an Insolvency Proceeding is begun against Borrower and is not dismissed or stayed within 45 days (but no Credit Extensions shall be made while any of the conditions described in clause (a) exist or until any Insolvency Proceeding is dismissed);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7.6 Other Agreements. </w:t>
      </w:r>
      <w:r>
        <w:rPr>
          <w:rFonts w:ascii="Times New Roman" w:cs="Times New Roman" w:eastAsia="Times New Roman" w:hAnsi="Times New Roman"/>
          <w:sz w:val="18"/>
          <w:szCs w:val="18"/>
          <w:color w:val="auto"/>
        </w:rPr>
        <w:t>There is, under any agreement to which Borrower, any of Borrower’s Subsidiaries, or any Guarantor is a party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parties, (a) any default resulting in a right by such third party or parties, whether or not exercised, to accelerate the maturity of any Indebtedness in an amount individually or in the aggregate in excess of $250,000.00; or (b) any breach or default by Borrower, any of Borrower’s Subsidiaries, or Guarantor, the result of which could have a material adverse effect on Borrower’s, any of Borrower’s Subsidiaries’, or any Guarantor’s business or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7.7 Judgments; Penalties. </w:t>
      </w:r>
      <w:r>
        <w:rPr>
          <w:rFonts w:ascii="Times New Roman" w:cs="Times New Roman" w:eastAsia="Times New Roman" w:hAnsi="Times New Roman"/>
          <w:sz w:val="18"/>
          <w:szCs w:val="18"/>
          <w:color w:val="auto"/>
        </w:rPr>
        <w:t>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of at least $250,000.00 (not covered by independent third-party insurance as to which liability has been accepted by such insurance carrier) shall be rendered against Borrower or any of its Subsidiaries by any Governmental Authority, and the same are not, within 30 days after the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If: (a) any document, instrument, or agreement evidencing any Subordinated Debt shall for any reason be revoked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7.10 Lien Priority. </w:t>
      </w:r>
      <w:r>
        <w:rPr>
          <w:rFonts w:ascii="Times New Roman" w:cs="Times New Roman" w:eastAsia="Times New Roman" w:hAnsi="Times New Roman"/>
          <w:sz w:val="18"/>
          <w:szCs w:val="18"/>
          <w:color w:val="auto"/>
        </w:rPr>
        <w:t>There is a material impairment in the perfection or priority of Bank’s security interest in the Collateral;</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7.11 Guaranty. </w:t>
      </w:r>
      <w:r>
        <w:rPr>
          <w:rFonts w:ascii="Times New Roman" w:cs="Times New Roman" w:eastAsia="Times New Roman" w:hAnsi="Times New Roman"/>
          <w:sz w:val="18"/>
          <w:szCs w:val="18"/>
          <w:color w:val="auto"/>
        </w:rPr>
        <w:t>(a) Any guaranty of any Obligations terminates or ceases for any reason to be in full force and effect; (b) any Guarantor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any obligation or covenant under any guaranty of the Obligations; (c) any circumstance described in Sections 7.3, 7.4, 7.5, 7.6, 7.7, or 7.8 of this Agreement occurs with respect to any Guarantor, (d) the death,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7.12 Governmental Approvals. </w:t>
      </w:r>
      <w:r>
        <w:rPr>
          <w:rFonts w:ascii="Times New Roman" w:cs="Times New Roman" w:eastAsia="Times New Roman" w:hAnsi="Times New Roman"/>
          <w:sz w:val="18"/>
          <w:szCs w:val="18"/>
          <w:color w:val="auto"/>
        </w:rPr>
        <w:t>Any Governmental Approval shall have been (a)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cause, a Material Adverse Change.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b w:val="1"/>
          <w:bCs w:val="1"/>
          <w:u w:val="single" w:color="auto"/>
          <w:color w:val="auto"/>
        </w:rPr>
        <w:t>BANK’S RIGHTS AND REMEDIES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Rights and Remedies. </w:t>
      </w:r>
      <w:r>
        <w:rPr>
          <w:rFonts w:ascii="Times New Roman" w:cs="Times New Roman" w:eastAsia="Times New Roman" w:hAnsi="Times New Roman"/>
          <w:sz w:val="18"/>
          <w:szCs w:val="18"/>
          <w:color w:val="auto"/>
        </w:rPr>
        <w:t>Upon the occurrence and during the continuance of an Event of Default, Bank may, without notice or demand, do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 of the following:</w:t>
      </w:r>
    </w:p>
    <w:p>
      <w:pPr>
        <w:spacing w:after="0" w:line="159" w:lineRule="exact"/>
        <w:rPr>
          <w:sz w:val="20"/>
          <w:szCs w:val="20"/>
          <w:color w:val="auto"/>
        </w:rPr>
      </w:pPr>
    </w:p>
    <w:p>
      <w:pPr>
        <w:ind w:firstLine="1304"/>
        <w:spacing w:after="0" w:line="282" w:lineRule="auto"/>
        <w:tabs>
          <w:tab w:leader="none" w:pos="15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Obligations immediately due and payable (but if an Event of Default described in Section 7.5 occurs, all Obligations are immediately due and payable without any action by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ind w:left="1600" w:hanging="296"/>
        <w:spacing w:after="0"/>
        <w:tabs>
          <w:tab w:leader="none" w:pos="1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 or under any other agreement between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Bank;</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(i) balances and deposits of Borrower it holds, or (ii) amount held by Bank owing to or for the credit or the account of Borrower;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8.2 Power of Attorney. </w:t>
      </w:r>
      <w:r>
        <w:rPr>
          <w:rFonts w:ascii="Times New Roman" w:cs="Times New Roman" w:eastAsia="Times New Roman" w:hAnsi="Times New Roman"/>
          <w:sz w:val="18"/>
          <w:szCs w:val="18"/>
          <w:color w:val="auto"/>
        </w:rPr>
        <w:t>Borrower hereby irrevocably appoints Bank as its true and lawful attorney-in-fact, (a) exercisable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if and when an Event of Default has occurred and is continuing,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8.3 Protective Payments. </w:t>
      </w:r>
      <w:r>
        <w:rPr>
          <w:rFonts w:ascii="Times New Roman" w:cs="Times New Roman" w:eastAsia="Times New Roman" w:hAnsi="Times New Roman"/>
          <w:sz w:val="18"/>
          <w:szCs w:val="18"/>
          <w:color w:val="auto"/>
        </w:rPr>
        <w:t>If Borrower fails to obtain the insurance called for by Section 5.5 or fails to pay any premium thereon or fails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Default Rate,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8.4 Application of Payments and Proceeds. </w:t>
      </w:r>
      <w:r>
        <w:rPr>
          <w:rFonts w:ascii="Times New Roman" w:cs="Times New Roman" w:eastAsia="Times New Roman" w:hAnsi="Times New Roman"/>
          <w:sz w:val="18"/>
          <w:szCs w:val="18"/>
          <w:color w:val="auto"/>
        </w:rPr>
        <w:t>After the occurrence and during the continuance of an Event of Default, Bank may apply any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Bank’s Liability for Collateral. </w:t>
      </w:r>
      <w:r>
        <w:rPr>
          <w:rFonts w:ascii="Times New Roman" w:cs="Times New Roman" w:eastAsia="Times New Roman" w:hAnsi="Times New Roman"/>
          <w:sz w:val="18"/>
          <w:szCs w:val="18"/>
          <w:color w:val="auto"/>
        </w:rPr>
        <w:t>Bank’s sole duty with respect to the custody, safekeeping, and physical preservation of the Collateral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8.6 No Waiver; Remedies Cumulative. </w:t>
      </w:r>
      <w:r>
        <w:rPr>
          <w:rFonts w:ascii="Times New Roman" w:cs="Times New Roman" w:eastAsia="Times New Roman" w:hAnsi="Times New Roman"/>
          <w:sz w:val="18"/>
          <w:szCs w:val="18"/>
          <w:color w:val="auto"/>
        </w:rPr>
        <w:t>Bank’s failure, at any time or times, to require strict performance by Borrower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8.7 Demand Waiver. </w:t>
      </w:r>
      <w:r>
        <w:rPr>
          <w:rFonts w:ascii="Times New Roman" w:cs="Times New Roman" w:eastAsia="Times New Roman" w:hAnsi="Times New Roman"/>
          <w:sz w:val="18"/>
          <w:szCs w:val="18"/>
          <w:color w:val="auto"/>
        </w:rPr>
        <w:t>Unless otherwise provided for herein or elsewhere in the Loan Documents, Borrower waives demand, notice of default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171" w:lineRule="exact"/>
        <w:rPr>
          <w:sz w:val="20"/>
          <w:szCs w:val="20"/>
          <w:color w:val="auto"/>
        </w:rPr>
      </w:pPr>
    </w:p>
    <w:p>
      <w:pPr>
        <w:ind w:left="800" w:hanging="144"/>
        <w:spacing w:after="0"/>
        <w:tabs>
          <w:tab w:leader="none" w:pos="8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3 Business Days after deposit in the U.S. mail, first-class, registered or certified mail return receipt requested, with proper postage prepaid; (b) upon transmission, when sent by electronic mail; (c)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If to Borrower:</w:t>
            </w: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Celsion Corporation</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997 Lenox Drive, Suite 100</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Lawrenceville, NJ 08648</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Attn: Jeffrey W. Church</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 jchurch@celsion.com</w:t>
            </w:r>
          </w:p>
        </w:tc>
      </w:tr>
      <w:tr>
        <w:trPr>
          <w:trHeight w:val="234"/>
        </w:trPr>
        <w:tc>
          <w:tcPr>
            <w:tcW w:w="3720" w:type="dxa"/>
            <w:vAlign w:val="bottom"/>
          </w:tcPr>
          <w:p>
            <w:pPr>
              <w:spacing w:after="0"/>
              <w:rPr>
                <w:sz w:val="20"/>
                <w:szCs w:val="20"/>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Website URL: https://celsion.com/leadership-team/</w:t>
            </w:r>
          </w:p>
        </w:tc>
      </w:tr>
      <w:tr>
        <w:trPr>
          <w:trHeight w:val="414"/>
        </w:trPr>
        <w:tc>
          <w:tcPr>
            <w:tcW w:w="37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If to Bank:</w:t>
            </w: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Silicon Valley Bank</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275 Grove Street, Suite 2-200</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Newton, MA 02466</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Attn: Ryan Gass</w:t>
            </w:r>
          </w:p>
        </w:tc>
      </w:tr>
      <w:tr>
        <w:trPr>
          <w:trHeight w:val="234"/>
        </w:trPr>
        <w:tc>
          <w:tcPr>
            <w:tcW w:w="3720" w:type="dxa"/>
            <w:vAlign w:val="bottom"/>
          </w:tcPr>
          <w:p>
            <w:pPr>
              <w:spacing w:after="0"/>
              <w:rPr>
                <w:sz w:val="20"/>
                <w:szCs w:val="20"/>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 rgass@svb.com</w:t>
            </w:r>
          </w:p>
        </w:tc>
      </w:tr>
      <w:tr>
        <w:trPr>
          <w:trHeight w:val="414"/>
        </w:trPr>
        <w:tc>
          <w:tcPr>
            <w:tcW w:w="37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with a copy to (which</w:t>
            </w: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Morrison &amp; Foerster LLP</w:t>
            </w:r>
          </w:p>
        </w:tc>
      </w:tr>
      <w:tr>
        <w:trPr>
          <w:trHeight w:val="216"/>
        </w:trPr>
        <w:tc>
          <w:tcPr>
            <w:tcW w:w="37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shall not constitute</w:t>
            </w: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200 Clarendon Street, Floor 20</w:t>
            </w:r>
          </w:p>
        </w:tc>
      </w:tr>
      <w:tr>
        <w:trPr>
          <w:trHeight w:val="216"/>
        </w:trPr>
        <w:tc>
          <w:tcPr>
            <w:tcW w:w="37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notice):</w:t>
            </w: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Boston, Massachusetts 02116</w:t>
            </w:r>
          </w:p>
        </w:tc>
      </w:tr>
      <w:tr>
        <w:trPr>
          <w:trHeight w:val="216"/>
        </w:trPr>
        <w:tc>
          <w:tcPr>
            <w:tcW w:w="372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Attn: David A. Ephraim, Esquire</w:t>
            </w:r>
          </w:p>
        </w:tc>
      </w:tr>
      <w:tr>
        <w:trPr>
          <w:trHeight w:val="234"/>
        </w:trPr>
        <w:tc>
          <w:tcPr>
            <w:tcW w:w="3720" w:type="dxa"/>
            <w:vAlign w:val="bottom"/>
          </w:tcPr>
          <w:p>
            <w:pPr>
              <w:spacing w:after="0"/>
              <w:rPr>
                <w:sz w:val="20"/>
                <w:szCs w:val="20"/>
                <w:color w:val="auto"/>
              </w:rPr>
            </w:pPr>
          </w:p>
        </w:tc>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 DEphraim@mofo.com</w:t>
            </w:r>
          </w:p>
        </w:tc>
      </w:tr>
      <w:tr>
        <w:trPr>
          <w:trHeight w:val="466"/>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684"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CHOICE OF LAW, VENUE AND JURY TRIAL WAIVER; JUDICIAL REFERENCE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in any of the Loan Documents, New York law governs the Loan Documents without regard to principles of conflicts of law that would require the application of the laws of another jurisdiction. Borrower and Bank each irrevocably and unconditionally submit to the exclusive jurisdiction of the State and Federal courts in New York, New York;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3 days after deposit in the U.S. mails, proper postage prepaid.</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10 shall survive the termination of this Agreement and the repayment of all Obligations.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 Termination Prior to Maturity Date; Survival. </w:t>
      </w:r>
      <w:r>
        <w:rPr>
          <w:rFonts w:ascii="Times New Roman" w:cs="Times New Roman" w:eastAsia="Times New Roman" w:hAnsi="Times New Roman"/>
          <w:sz w:val="18"/>
          <w:szCs w:val="18"/>
          <w:color w:val="auto"/>
        </w:rPr>
        <w:t>All covenants, representations, and warranties made in this Agreement shall continue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this Agreement may be terminated prior to the Term Loan Maturity Date by Borrower, effective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 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Unless an Event of Default has occurred and is continuing, Bank shall only assign any interest in the Loan Documents to any Eligible Assignee. For purposes hereof, an “Eligible Assignee” is (a) any bank organized under the Federal Reserve System, or (b) any commercial bank, insurance company, investment or mutual fund or other entity that is an “accredited investor” (as defined in Regulation D under the Securities Act) and which extends credit or buys loans as one of its businesses and (i) has at least $500,000,000 of Tier 1 Capital and a Credit Rating of at least A1/P1 or equivalent or single A or equivalent, (ii) is not a vulture fund or distressed debt fund as reasonably determined by Bank, and (iii) is not a competitor of Borrower as reasonably determined by Borrower; provided that neither the Borrower nor any Subsidiary of the Borrower shall be an Eligible Assignee.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b w:val="1"/>
          <w:bCs w:val="1"/>
          <w:color w:val="auto"/>
        </w:rPr>
        <w:t>11.3 Indemnification.</w:t>
      </w:r>
    </w:p>
    <w:p>
      <w:pPr>
        <w:spacing w:after="0" w:line="229" w:lineRule="exact"/>
        <w:rPr>
          <w:sz w:val="20"/>
          <w:szCs w:val="20"/>
          <w:color w:val="auto"/>
        </w:rPr>
      </w:pPr>
    </w:p>
    <w:p>
      <w:pPr>
        <w:jc w:val="both"/>
        <w:ind w:firstLine="1304"/>
        <w:spacing w:after="0" w:line="253" w:lineRule="auto"/>
        <w:tabs>
          <w:tab w:leader="none" w:pos="15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Indemnification</w:t>
      </w:r>
      <w:r>
        <w:rPr>
          <w:rFonts w:ascii="Times New Roman" w:cs="Times New Roman" w:eastAsia="Times New Roman" w:hAnsi="Times New Roman"/>
          <w:sz w:val="18"/>
          <w:szCs w:val="18"/>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11.4 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 Amendments in Writing; Waiver; Integration. </w:t>
      </w:r>
      <w:r>
        <w:rPr>
          <w:rFonts w:ascii="Times New Roman" w:cs="Times New Roman" w:eastAsia="Times New Roman" w:hAnsi="Times New Roman"/>
          <w:sz w:val="18"/>
          <w:szCs w:val="18"/>
          <w:color w:val="auto"/>
        </w:rPr>
        <w:t>No purported amendment or modification of any Loan Document, or waiver, discharge,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11.8 Confidentiality. </w:t>
      </w:r>
      <w:r>
        <w:rPr>
          <w:rFonts w:ascii="Times New Roman" w:cs="Times New Roman" w:eastAsia="Times New Roman" w:hAnsi="Times New Roman"/>
          <w:sz w:val="18"/>
          <w:szCs w:val="18"/>
          <w:color w:val="auto"/>
        </w:rPr>
        <w:t>Bank agrees to maintain the confidentiality of Information (as defined below), except that Information may be disclosed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Bank’s Subsidiaries and Affiliates and their respective employees, directors, agents, attorneys, accountants, and other professional advisors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together with Bank, collectively, “</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(b) to prospective transferees, assignees, credit providers, or purchasers of Bank’s interests under or in connection with this Agreement and their Representatives (provided, however, Bank shall use commercially reasonable efforts to obtain any such prospective transferee’s, assignee’s, credit provider’s, purchaser’s, or their Representatives’ agreement to the terms of this provision);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11.9 Electronic Execution of Documents. </w:t>
      </w:r>
      <w:r>
        <w:rPr>
          <w:rFonts w:ascii="Times New Roman" w:cs="Times New Roman" w:eastAsia="Times New Roman" w:hAnsi="Times New Roman"/>
          <w:sz w:val="18"/>
          <w:szCs w:val="18"/>
          <w:color w:val="auto"/>
        </w:rPr>
        <w:t>The words “execution,” “signed,” “signature,” and words of like import in any Loan Document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include electronic signatures, including any Electronic Signature as defined in the Electronic Transactions Law (2003 Revision) of the Cayman Islands (the “</w:t>
      </w:r>
      <w:r>
        <w:rPr>
          <w:rFonts w:ascii="Times New Roman" w:cs="Times New Roman" w:eastAsia="Times New Roman" w:hAnsi="Times New Roman"/>
          <w:sz w:val="18"/>
          <w:szCs w:val="18"/>
          <w:b w:val="1"/>
          <w:bCs w:val="1"/>
          <w:color w:val="auto"/>
        </w:rPr>
        <w:t>Cayman Islands Electronic Signature Law</w:t>
      </w:r>
      <w:r>
        <w:rPr>
          <w:rFonts w:ascii="Times New Roman" w:cs="Times New Roman" w:eastAsia="Times New Roman" w:hAnsi="Times New Roman"/>
          <w:sz w:val="18"/>
          <w:szCs w:val="18"/>
          <w:color w:val="auto"/>
        </w:rPr>
        <w:t>”),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provided, however that sections 8 and 19(3) of the Cayman Islands Electronic Signature Law shall not apply to this Agreement or the execution or delivery thereof.</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11.10 Right of Setoff. </w:t>
      </w:r>
      <w:r>
        <w:rPr>
          <w:rFonts w:ascii="Times New Roman" w:cs="Times New Roman" w:eastAsia="Times New Roman" w:hAnsi="Times New Roman"/>
          <w:sz w:val="17"/>
          <w:szCs w:val="17"/>
          <w:color w:val="auto"/>
        </w:rPr>
        <w:t>Borrower hereby grants to Bank a Lien and a right of setoff as security for all Obligations to Bank, whether now existing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 Captions and Section References. </w:t>
      </w:r>
      <w:r>
        <w:rPr>
          <w:rFonts w:ascii="Times New Roman" w:cs="Times New Roman" w:eastAsia="Times New Roman" w:hAnsi="Times New Roman"/>
          <w:sz w:val="18"/>
          <w:szCs w:val="18"/>
          <w:color w:val="auto"/>
        </w:rPr>
        <w:t>The headings used in this Agreement are for convenience only and shall not affect the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Unless indicated otherwise, section references herein are to sections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 Construction of Agreement. </w:t>
      </w:r>
      <w:r>
        <w:rPr>
          <w:rFonts w:ascii="Times New Roman" w:cs="Times New Roman" w:eastAsia="Times New Roman" w:hAnsi="Times New Roman"/>
          <w:sz w:val="18"/>
          <w:szCs w:val="18"/>
          <w:color w:val="auto"/>
        </w:rPr>
        <w:t>The parties hereto mutually acknowledge that they and their attorneys have participated in the preparation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 of this Agreement. In cases of uncertainty this Agreement shall be construed without regard to which of the parties caused the uncertainty to exist.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 Relationship. </w:t>
      </w:r>
      <w:r>
        <w:rPr>
          <w:rFonts w:ascii="Times New Roman" w:cs="Times New Roman" w:eastAsia="Times New Roman" w:hAnsi="Times New Roman"/>
          <w:sz w:val="18"/>
          <w:szCs w:val="18"/>
          <w:color w:val="auto"/>
        </w:rPr>
        <w:t>The relationship of the parties to this Agreement is determined solely by the provisions of this Agreement. The parties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create any agency, partnership, joint venture, trust, fiduciary, or other relationship with duties or incidents different from those of parties to an arm’s-length contract.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11.14 Third Parties. </w:t>
      </w:r>
      <w:r>
        <w:rPr>
          <w:rFonts w:ascii="Times New Roman" w:cs="Times New Roman" w:eastAsia="Times New Roman" w:hAnsi="Times New Roman"/>
          <w:sz w:val="18"/>
          <w:szCs w:val="18"/>
          <w:color w:val="auto"/>
        </w:rPr>
        <w:t>Nothing in this Agreement, whether express or implied, is intended to: (a) confer any benefits, rights, or remedies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11.15 Anti-Terrorism Law. </w:t>
      </w:r>
      <w:r>
        <w:rPr>
          <w:rFonts w:ascii="Times New Roman" w:cs="Times New Roman" w:eastAsia="Times New Roman" w:hAnsi="Times New Roman"/>
          <w:sz w:val="18"/>
          <w:szCs w:val="18"/>
          <w:color w:val="auto"/>
        </w:rPr>
        <w:t>Bank hereby notifies Borrower that, pursuant to the requirements of Anti-Terrorism Law, Bank may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ACCOUNTING TERMS AND OTHER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12.1 Accounting and Other Terms.</w:t>
      </w:r>
    </w:p>
    <w:p>
      <w:pPr>
        <w:spacing w:after="0" w:line="229" w:lineRule="exact"/>
        <w:rPr>
          <w:sz w:val="20"/>
          <w:szCs w:val="20"/>
          <w:color w:val="auto"/>
        </w:rPr>
      </w:pPr>
    </w:p>
    <w:p>
      <w:pPr>
        <w:jc w:val="both"/>
        <w:ind w:firstLine="1304"/>
        <w:spacing w:after="0" w:line="254"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1" w:lineRule="exact"/>
        <w:rPr>
          <w:rFonts w:ascii="Times New Roman" w:cs="Times New Roman" w:eastAsia="Times New Roman" w:hAnsi="Times New Roman"/>
          <w:sz w:val="18"/>
          <w:szCs w:val="18"/>
          <w:color w:val="auto"/>
        </w:rPr>
      </w:pPr>
    </w:p>
    <w:p>
      <w:pPr>
        <w:jc w:val="both"/>
        <w:ind w:firstLine="1304"/>
        <w:spacing w:after="0" w:line="277" w:lineRule="auto"/>
        <w:tabs>
          <w:tab w:leader="none" w:pos="155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6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Definitions. </w:t>
      </w:r>
      <w:r>
        <w:rPr>
          <w:rFonts w:ascii="Times New Roman" w:cs="Times New Roman" w:eastAsia="Times New Roman" w:hAnsi="Times New Roman"/>
          <w:sz w:val="18"/>
          <w:szCs w:val="18"/>
          <w:color w:val="auto"/>
        </w:rPr>
        <w:t>Capitalized terms not otherwise defined in this Agreement shall have the meanings set forth in this Section 12.2. All other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unless otherwise indicated, shall have the meaning provided by the Code to the extent such terms are defined therein. As used in this Agreement, the following capitalized terms have the following meanings: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any law relating to terrorism or money laundering, including Executive Order No. 13224 and the USA Patriot Act.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are all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Borrower’s board of directors or equivalent governing body.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 day other than a Saturday, Sunday, or other day on which commercial banks in the State of California are authorized or required by law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 Account</w:t>
      </w:r>
      <w:r>
        <w:rPr>
          <w:rFonts w:ascii="Times New Roman" w:cs="Times New Roman" w:eastAsia="Times New Roman" w:hAnsi="Times New Roman"/>
          <w:sz w:val="18"/>
          <w:szCs w:val="18"/>
          <w:color w:val="auto"/>
        </w:rPr>
        <w:t>” is defined in Section 5.7(a)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95.0% of the assets of which constitute Cash Equivalents of the kinds described in clauses (a) through (c) of this definition.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Pledge Agreement</w:t>
      </w:r>
      <w:r>
        <w:rPr>
          <w:rFonts w:ascii="Times New Roman" w:cs="Times New Roman" w:eastAsia="Times New Roman" w:hAnsi="Times New Roman"/>
          <w:sz w:val="18"/>
          <w:szCs w:val="18"/>
          <w:color w:val="auto"/>
        </w:rPr>
        <w:t>” is that certain Cash Pledge Agreement dated as of the Effective Date executed by Borrower in favor of Bank, as amended, modified, supplemented and/or restated from time to time.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Islands Electronic Signature Law</w:t>
      </w:r>
      <w:r>
        <w:rPr>
          <w:rFonts w:ascii="Times New Roman" w:cs="Times New Roman" w:eastAsia="Times New Roman" w:hAnsi="Times New Roman"/>
          <w:sz w:val="18"/>
          <w:szCs w:val="18"/>
          <w:color w:val="auto"/>
        </w:rPr>
        <w:t>” is defined in Section 11.9.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consists of all of Borrower’s right, title, and interest in that certain money market account (Cash Collateral Account) – Account No. xxxxxxx504 (last three digits of account only) maintained by Borrower at Bank, and all cash, Cash Equivalents and other deposits and proceeds from time to time contained therein.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Statement</w:t>
      </w:r>
      <w:r>
        <w:rPr>
          <w:rFonts w:ascii="Times New Roman" w:cs="Times New Roman" w:eastAsia="Times New Roman" w:hAnsi="Times New Roman"/>
          <w:sz w:val="18"/>
          <w:szCs w:val="18"/>
          <w:color w:val="auto"/>
        </w:rPr>
        <w:t>” is that certain statement in the form attached hereto as Exhibit 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Advance, or any other extension of credit by Bank for Borrower’s benefit.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is coined money and such other banknotes or other paper money as are authorized by law and circulate as a medium of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with notice or passage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1.2(c).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deposit account established by Borrower with Bank for purposes of receiving Credit Extensions.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 “</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w:t>
      </w:r>
    </w:p>
    <w:p>
      <w:pPr>
        <w:spacing w:after="0" w:line="1" w:lineRule="exact"/>
        <w:rPr>
          <w:sz w:val="20"/>
          <w:szCs w:val="20"/>
          <w:color w:val="auto"/>
        </w:rPr>
      </w:pPr>
    </w:p>
    <w:p>
      <w:pPr>
        <w:jc w:val="both"/>
        <w:ind w:firstLine="8"/>
        <w:spacing w:after="0" w:line="255"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is defined in Section 11.2.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the Securities Exchange Act of 1934,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 (d) any withholding Taxes imposed under FATCA.</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Term Loan Maturity Date, (b) the repayment of the Term Loan Advances in full, (c) as required pursuant to Sections 1.1(c) or 1.1(d), or (d) the termination of this Agreement, in the amount of $300,000.00.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 Repository</w:t>
      </w:r>
      <w:r>
        <w:rPr>
          <w:rFonts w:ascii="Times New Roman" w:cs="Times New Roman" w:eastAsia="Times New Roman" w:hAnsi="Times New Roman"/>
          <w:sz w:val="18"/>
          <w:szCs w:val="18"/>
          <w:color w:val="auto"/>
        </w:rPr>
        <w:t>” is Bank’s email address specified in Section 9 or such other means of collecting information approved and designated by Bank after providing notice thereof to Borrower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is the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Bank.</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Horizon Finance</w:t>
      </w:r>
      <w:r>
        <w:rPr>
          <w:rFonts w:ascii="Times New Roman" w:cs="Times New Roman" w:eastAsia="Times New Roman" w:hAnsi="Times New Roman"/>
          <w:sz w:val="18"/>
          <w:szCs w:val="18"/>
          <w:color w:val="auto"/>
        </w:rPr>
        <w:t>” is collectively, (i) Horizon Technology Finance Corporation, (ii) Horizon Funding I, LLC, and (iii) Horizon Funding Trust 2019-1, each of (ii) and (iii) is an assignee of (i).</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Horizon Obligations</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Advance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540" w:hanging="236"/>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Copyrights, Trademarks, and Patents;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manuals;</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ind w:firstLine="1304"/>
        <w:spacing w:after="0" w:line="282" w:lineRule="auto"/>
        <w:tabs>
          <w:tab w:leader="none" w:pos="155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and the rules and regulations promulgated thereunder, each as amended or modified from time to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Borrower’s (i) President and Chief Executive Officer, who is Michael H. Tardugno, (ii) Executive Vice President and Chief Scientific Officer, who is Kursheed Anwer, (iii) Executive Vice President and Chief Medical Officer, who is Nicholas Borys, and (iv) Executive Vice President, Chief Financial Officer and Corporate Secretary, who is Jeffrey W. Church.</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and any schedules, exhibits, certificates, notices, and any other documents related to this Agreement, the Perfection Certificate, Control Agreements, the Cash Pledge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all as amended, restated, or otherwise modified in accordance with the terms thereof.</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Threshold Amount</w:t>
      </w:r>
      <w:r>
        <w:rPr>
          <w:rFonts w:ascii="Times New Roman" w:cs="Times New Roman" w:eastAsia="Times New Roman" w:hAnsi="Times New Roman"/>
          <w:sz w:val="18"/>
          <w:szCs w:val="18"/>
          <w:color w:val="auto"/>
        </w:rPr>
        <w:t>” defined in Section 5.7(a)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Borrower’s obligations to pay when due any debts, principal, interest, fees, Bank Expenses, the Prepayment Fee, the Final Payment, and other amounts Borrower owes Bank now or later, whether under this Agreement, the other Loan Documents, or otherwise, including, without limitation, interest accruing after Insolvency Proceedings begin and debts, liabilities, or obligations of Borrower assigned to Bank, and to perform Borrower’s duties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Office of Foreign Assets Control of the United States Department of the Treasury and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Payment/Advance Form</w:t>
      </w:r>
      <w:r>
        <w:rPr>
          <w:rFonts w:ascii="Times New Roman" w:cs="Times New Roman" w:eastAsia="Times New Roman" w:hAnsi="Times New Roman"/>
          <w:sz w:val="18"/>
          <w:szCs w:val="18"/>
          <w:color w:val="auto"/>
        </w:rPr>
        <w:t>” is that certain form in the form attached hereto as Exhibit 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the Perfection Certificate delivered by Borrower in connection with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1540" w:hanging="236"/>
        <w:spacing w:after="0"/>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Bank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clauses (a) and (c) of the definition of “Permitted Liens” hereunder;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Investments (including, without limitation, Subsidiaries) existing on the Effective Date which are shown on the Perfection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right="6500" w:firstLine="644"/>
        <w:spacing w:after="0" w:line="500" w:lineRule="auto"/>
        <w:tabs>
          <w:tab w:leader="none" w:pos="15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Equivalents.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Liens existing on the Effective Date which are shown on the Perfection Certificate or arising under this Agreement or the other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jc w:val="both"/>
        <w:ind w:firstLine="1304"/>
        <w:spacing w:after="0" w:line="266" w:lineRule="auto"/>
        <w:tabs>
          <w:tab w:leader="none" w:pos="15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$150,000.00 in the aggregate amount outstanding, or (ii) existing on Equipment when acquired, if the Lien is confined to the property and improvements and the proceeds of the Equipment;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72"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shall be an additional fee, payable to Bank, with respect to the Term Loan Advances, in an amount equal to:</w:t>
      </w:r>
    </w:p>
    <w:p>
      <w:pPr>
        <w:spacing w:after="0" w:line="229" w:lineRule="exact"/>
        <w:rPr>
          <w:sz w:val="20"/>
          <w:szCs w:val="20"/>
          <w:color w:val="auto"/>
        </w:rPr>
      </w:pPr>
    </w:p>
    <w:p>
      <w:pPr>
        <w:ind w:firstLine="65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on or prior to the first (1st) anniversary of the Effective Date, three percent (3.0%) of the then outstanding principal amount of the Term Loan Advances immediately prior to the date of such prepayment;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first (1st) anniversary of the Effective Date, but on or prior to the second (2nd) anniversary of the Effective Date, two percent (2.0%) of the then outstanding principal amount of the Term Loan Advances immediately prior to the date of such prepayment;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second (2nd) anniversary of the Effective Date, but on or prior to the Third anniversary of the Effective Date, one percent (1.0%) of the then outstanding principal amount of the Term Loan Advances immediately prior to the date of such prepayment;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third (3rd) anniversary of the Effective Date, zero percent (0.0%) of the then outstanding principal amount of the Term Loan Advances immediately prior to the date of such prepayment.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1 or more Persons described in clauses (a) and (b)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Affiliate</w:t>
      </w:r>
      <w:r>
        <w:rPr>
          <w:rFonts w:ascii="Times New Roman" w:cs="Times New Roman" w:eastAsia="Times New Roman" w:hAnsi="Times New Roman"/>
          <w:sz w:val="18"/>
          <w:szCs w:val="18"/>
          <w:color w:val="auto"/>
        </w:rPr>
        <w:t>” is any Person (a) more than 10.0% of whose aggregate issued and outstanding equity or ownership securities or interests, voting, non-voting or both, are owned or held directly or indirectly, beneficially or of record, by Borrower, and/or (b) whose equity or ownership securities or interests representing more than 10.0% of such Person’s total outstanding combined voting power are owned or held directly or indirectly, beneficially or of record, by Borrower.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6.1.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 signed into law on October 26, 2001), as amended from time to time.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Effective Date.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Jeffrey W. Church</w:t>
      </w:r>
    </w:p>
    <w:p>
      <w:pPr>
        <w:spacing w:after="0" w:line="225" w:lineRule="exact"/>
        <w:rPr>
          <w:sz w:val="20"/>
          <w:szCs w:val="20"/>
          <w:color w:val="auto"/>
        </w:rPr>
      </w:pPr>
    </w:p>
    <w:p>
      <w:pPr>
        <w:jc w:val="right"/>
        <w:ind w:right="42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and Corporate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SILICON VALLEY BANK</w:t>
      </w:r>
    </w:p>
    <w:p>
      <w:pPr>
        <w:spacing w:after="0" w:line="227" w:lineRule="exact"/>
        <w:rPr>
          <w:sz w:val="20"/>
          <w:szCs w:val="20"/>
          <w:color w:val="auto"/>
        </w:rPr>
      </w:pPr>
    </w:p>
    <w:tbl>
      <w:tblPr>
        <w:tblLayout w:type="fixed"/>
        <w:tblInd w:w="4980" w:type="dxa"/>
        <w:tblCellMar>
          <w:top w:w="0" w:type="dxa"/>
          <w:left w:w="0" w:type="dxa"/>
          <w:bottom w:w="0" w:type="dxa"/>
          <w:right w:w="0" w:type="dxa"/>
        </w:tblCellMar>
      </w:tblPr>
      <w:tr>
        <w:trPr>
          <w:trHeight w:val="250"/>
        </w:trPr>
        <w:tc>
          <w:tcPr>
            <w:tcW w:w="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/S/ Lauren Cole</w:t>
            </w:r>
          </w:p>
        </w:tc>
        <w:tc>
          <w:tcPr>
            <w:tcW w:w="3880" w:type="dxa"/>
            <w:vAlign w:val="bottom"/>
            <w:tcBorders>
              <w:top w:val="single" w:sz="8" w:color="auto"/>
              <w:bottom w:val="single" w:sz="8" w:color="auto"/>
              <w:right w:val="single" w:sz="8" w:color="auto"/>
            </w:tcBorders>
          </w:tcPr>
          <w:p>
            <w:pPr>
              <w:spacing w:after="0"/>
              <w:rPr>
                <w:sz w:val="21"/>
                <w:szCs w:val="2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Cole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80" w:top="684" w:right="31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5060" w:type="dxa"/>
            <w:vAlign w:val="bottom"/>
            <w:gridSpan w:val="5"/>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gridSpan w:val="8"/>
          </w:tcPr>
          <w:p>
            <w:pPr>
              <w:jc w:val="center"/>
              <w:ind w:right="4860"/>
              <w:spacing w:after="0" w:line="196" w:lineRule="exact"/>
              <w:rPr>
                <w:sz w:val="20"/>
                <w:szCs w:val="20"/>
                <w:color w:val="auto"/>
              </w:rPr>
            </w:pPr>
            <w:r>
              <w:rPr>
                <w:rFonts w:ascii="Times New Roman" w:cs="Times New Roman" w:eastAsia="Times New Roman" w:hAnsi="Times New Roman"/>
                <w:sz w:val="18"/>
                <w:szCs w:val="18"/>
                <w:b w:val="1"/>
                <w:bCs w:val="1"/>
                <w:color w:val="auto"/>
              </w:rPr>
              <w:t>LSA PROVISIONS</w:t>
            </w:r>
          </w:p>
        </w:tc>
      </w:tr>
      <w:tr>
        <w:trPr>
          <w:trHeight w:val="236"/>
        </w:trPr>
        <w:tc>
          <w:tcPr>
            <w:tcW w:w="1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r>
      <w:tr>
        <w:trPr>
          <w:trHeight w:val="169"/>
        </w:trPr>
        <w:tc>
          <w:tcPr>
            <w:tcW w:w="3960" w:type="dxa"/>
            <w:vAlign w:val="bottom"/>
            <w:tcBorders>
              <w:left w:val="single" w:sz="8" w:color="auto"/>
              <w:right w:val="single" w:sz="8" w:color="auto"/>
            </w:tcBorders>
            <w:gridSpan w:val="3"/>
          </w:tcPr>
          <w:p>
            <w:pPr>
              <w:ind w:left="1500"/>
              <w:spacing w:after="0" w:line="169" w:lineRule="exact"/>
              <w:rPr>
                <w:sz w:val="20"/>
                <w:szCs w:val="20"/>
                <w:color w:val="auto"/>
              </w:rPr>
            </w:pPr>
            <w:r>
              <w:rPr>
                <w:rFonts w:ascii="Times New Roman" w:cs="Times New Roman" w:eastAsia="Times New Roman" w:hAnsi="Times New Roman"/>
                <w:sz w:val="18"/>
                <w:szCs w:val="18"/>
                <w:b w:val="1"/>
                <w:bCs w:val="1"/>
                <w:color w:val="auto"/>
              </w:rPr>
              <w:t>LSA Section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LSA Provision</w:t>
            </w:r>
          </w:p>
        </w:tc>
      </w:tr>
      <w:tr>
        <w:trPr>
          <w:trHeight w:val="21"/>
        </w:trPr>
        <w:tc>
          <w:tcPr>
            <w:tcW w:w="150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1.1(a) – Term Loan – Availability</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w w:val="99"/>
              </w:rPr>
              <w:t>Each Term Loan Advance must be in an amount equal to at least $2,000,000.00. After repayment, no</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Term Loan Advance (or any portion thereof) may be reborrowed. Subject to the terms and</w:t>
            </w:r>
          </w:p>
        </w:tc>
      </w:tr>
      <w:tr>
        <w:trPr>
          <w:trHeight w:val="212"/>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conditions of this Agreement, upon Borrower’s request, Bank shall make an initial Term Loan</w:t>
            </w:r>
          </w:p>
        </w:tc>
      </w:tr>
      <w:tr>
        <w:trPr>
          <w:trHeight w:val="220"/>
        </w:trPr>
        <w:tc>
          <w:tcPr>
            <w:tcW w:w="150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Advance (“</w:t>
            </w:r>
            <w:r>
              <w:rPr>
                <w:rFonts w:ascii="Times New Roman" w:cs="Times New Roman" w:eastAsia="Times New Roman" w:hAnsi="Times New Roman"/>
                <w:sz w:val="18"/>
                <w:szCs w:val="18"/>
                <w:b w:val="1"/>
                <w:bCs w:val="1"/>
                <w:color w:val="auto"/>
              </w:rPr>
              <w:t>Initial Term Loan Advance</w:t>
            </w:r>
            <w:r>
              <w:rPr>
                <w:rFonts w:ascii="Times New Roman" w:cs="Times New Roman" w:eastAsia="Times New Roman" w:hAnsi="Times New Roman"/>
                <w:sz w:val="18"/>
                <w:szCs w:val="18"/>
                <w:color w:val="auto"/>
              </w:rPr>
              <w:t>”) available to Borrower on or about the Effective Date in</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an original principal amount of $6,000,000.00; provided that all or a portion of the Initial Term Loan</w:t>
            </w:r>
          </w:p>
        </w:tc>
      </w:tr>
      <w:tr>
        <w:trPr>
          <w:trHeight w:val="212"/>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Advance shall be used to repay in full Borrower’s outstanding obligations and liabilities to Horizon</w:t>
            </w:r>
          </w:p>
        </w:tc>
      </w:tr>
      <w:tr>
        <w:trPr>
          <w:trHeight w:val="220"/>
        </w:trPr>
        <w:tc>
          <w:tcPr>
            <w:tcW w:w="150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Finance (the “</w:t>
            </w:r>
            <w:r>
              <w:rPr>
                <w:rFonts w:ascii="Times New Roman" w:cs="Times New Roman" w:eastAsia="Times New Roman" w:hAnsi="Times New Roman"/>
                <w:sz w:val="18"/>
                <w:szCs w:val="18"/>
                <w:b w:val="1"/>
                <w:bCs w:val="1"/>
                <w:color w:val="auto"/>
              </w:rPr>
              <w:t>Horizon Obligations</w:t>
            </w:r>
            <w:r>
              <w:rPr>
                <w:rFonts w:ascii="Times New Roman" w:cs="Times New Roman" w:eastAsia="Times New Roman" w:hAnsi="Times New Roman"/>
                <w:sz w:val="18"/>
                <w:szCs w:val="18"/>
                <w:color w:val="auto"/>
              </w:rPr>
              <w:t>”). Borrower hereby authorizes Bank to apply the proceeds of</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the Initial Term Loan Advance to the Horizon Obligations as part of the funding process without</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actually depositing such funds into an account of Borrower.</w:t>
            </w: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1.1(b) – Term Loan – Repayment</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w w:val="99"/>
              </w:rPr>
              <w:t>Commencing on July 1, 2023 and continuing on each Payment Date thereafter, Borrower shall repay</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each Term Loan Advance in (i) 24 equal monthly installments of principal, plus (ii) monthly</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payments of accrued interest at the rate set forth in Section 1.2(b)(i).</w:t>
            </w: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1.2(a) – Interest Payments – Term Loan Advances</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rPr>
              <w:t>Interest on the principal amount of each Term Loan Advance is payable in arrears monthly (A) on</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each Payment Date commencing on the first Payment Date following the Funding Date of each such</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Term Loan Advance, (B) on the date of any prepayment, and (C) on the Term Loan Maturity Date.</w:t>
            </w: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1.2(b)(i) – Interest Rate – Term Loan Advances</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rPr>
              <w:t>The outstanding principal amount of any Term Loan Advance shall accrue interest at a floating rate</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per annum equal to the greater of (1) 3.25% and (2) the Prime Rate, which interest shall be payable</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in accordance with Section 1.2(a).</w:t>
            </w: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1.2(e) – Interest Computation</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rPr>
              <w:t>Interest shall be computed on the basis of the actual number of days elapsed and a 360-day year for</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any Credit Extension outstanding.</w:t>
            </w:r>
          </w:p>
        </w:tc>
      </w:tr>
      <w:tr>
        <w:trPr>
          <w:trHeight w:val="210"/>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“Borrower”</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Celsion Corporation, a Delaware corporation.</w:t>
            </w:r>
          </w:p>
        </w:tc>
      </w:tr>
      <w:tr>
        <w:trPr>
          <w:trHeight w:val="209"/>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“Draw Period”</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w:t>
            </w:r>
            <w:r>
              <w:rPr>
                <w:rFonts w:ascii="Times New Roman" w:cs="Times New Roman" w:eastAsia="Times New Roman" w:hAnsi="Times New Roman"/>
                <w:sz w:val="18"/>
                <w:szCs w:val="18"/>
                <w:color w:val="auto"/>
              </w:rPr>
              <w:t>” is the period commencing on the Effective Date and ending on June 30, 2022.</w:t>
            </w:r>
          </w:p>
        </w:tc>
      </w:tr>
      <w:tr>
        <w:trPr>
          <w:trHeight w:val="210"/>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“Effective Date”</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June 18, 2021.</w:t>
            </w:r>
          </w:p>
        </w:tc>
      </w:tr>
      <w:tr>
        <w:trPr>
          <w:trHeight w:val="210"/>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“Payment Date”</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(1st) calendar day of each month.</w:t>
            </w:r>
          </w:p>
        </w:tc>
      </w:tr>
      <w:tr>
        <w:trPr>
          <w:trHeight w:val="191"/>
        </w:trPr>
        <w:tc>
          <w:tcPr>
            <w:tcW w:w="3960" w:type="dxa"/>
            <w:vAlign w:val="bottom"/>
            <w:tcBorders>
              <w:left w:val="single" w:sz="8" w:color="auto"/>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12.2 – “Prime Rate”</w:t>
            </w:r>
          </w:p>
        </w:tc>
        <w:tc>
          <w:tcPr>
            <w:tcW w:w="7280" w:type="dxa"/>
            <w:vAlign w:val="bottom"/>
            <w:tcBorders>
              <w:right w:val="single" w:sz="8" w:color="auto"/>
            </w:tcBorders>
            <w:gridSpan w:val="11"/>
          </w:tcPr>
          <w:p>
            <w:pPr>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the rate of interest per annum from time to time published in the money rates</w:t>
            </w:r>
          </w:p>
        </w:tc>
      </w:tr>
      <w:tr>
        <w:trPr>
          <w:trHeight w:val="194"/>
        </w:trPr>
        <w:tc>
          <w:tcPr>
            <w:tcW w:w="150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7280" w:type="dxa"/>
            <w:vAlign w:val="bottom"/>
            <w:tcBorders>
              <w:right w:val="single" w:sz="8" w:color="auto"/>
            </w:tcBorders>
            <w:gridSpan w:val="11"/>
          </w:tcPr>
          <w:p>
            <w:pPr>
              <w:spacing w:after="0" w:line="194" w:lineRule="exact"/>
              <w:rPr>
                <w:sz w:val="20"/>
                <w:szCs w:val="20"/>
                <w:color w:val="auto"/>
              </w:rPr>
            </w:pPr>
            <w:r>
              <w:rPr>
                <w:rFonts w:ascii="Times New Roman" w:cs="Times New Roman" w:eastAsia="Times New Roman" w:hAnsi="Times New Roman"/>
                <w:sz w:val="18"/>
                <w:szCs w:val="18"/>
                <w:color w:val="auto"/>
              </w:rPr>
              <w:t>section of The Wall Street Journal or any successor publication thereto as the “prime rate” then in</w:t>
            </w:r>
          </w:p>
        </w:tc>
      </w:tr>
      <w:tr>
        <w:trPr>
          <w:trHeight w:val="20"/>
        </w:trPr>
        <w:tc>
          <w:tcPr>
            <w:tcW w:w="150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720" w:type="dxa"/>
            <w:vAlign w:val="bottom"/>
            <w:tcBorders>
              <w:right w:val="single" w:sz="8" w:color="auto"/>
            </w:tcBorders>
            <w:gridSpan w:val="3"/>
          </w:tcPr>
          <w:p>
            <w:pPr>
              <w:spacing w:after="0" w:line="20" w:lineRule="exact"/>
              <w:rPr>
                <w:sz w:val="1"/>
                <w:szCs w:val="1"/>
                <w:color w:val="auto"/>
              </w:rPr>
            </w:pPr>
          </w:p>
        </w:tc>
      </w:tr>
      <w:tr>
        <w:trPr>
          <w:trHeight w:val="218"/>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effect; provided that if such rate of interest, as set forth from time to time in the money rates section</w:t>
            </w:r>
          </w:p>
        </w:tc>
      </w:tr>
      <w:tr>
        <w:trPr>
          <w:trHeight w:val="194"/>
        </w:trPr>
        <w:tc>
          <w:tcPr>
            <w:tcW w:w="150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7280" w:type="dxa"/>
            <w:vAlign w:val="bottom"/>
            <w:tcBorders>
              <w:right w:val="single" w:sz="8" w:color="auto"/>
            </w:tcBorders>
            <w:gridSpan w:val="11"/>
          </w:tcPr>
          <w:p>
            <w:pPr>
              <w:spacing w:after="0" w:line="194" w:lineRule="exact"/>
              <w:rPr>
                <w:sz w:val="20"/>
                <w:szCs w:val="20"/>
                <w:color w:val="auto"/>
              </w:rPr>
            </w:pPr>
            <w:r>
              <w:rPr>
                <w:rFonts w:ascii="Times New Roman" w:cs="Times New Roman" w:eastAsia="Times New Roman" w:hAnsi="Times New Roman"/>
                <w:sz w:val="18"/>
                <w:szCs w:val="18"/>
                <w:color w:val="auto"/>
              </w:rPr>
              <w:t>of The Wall Street Journal, becomes unavailable for any reason as determined by Bank, the “Prime</w:t>
            </w:r>
          </w:p>
        </w:tc>
      </w:tr>
      <w:tr>
        <w:trPr>
          <w:trHeight w:val="20"/>
        </w:trPr>
        <w:tc>
          <w:tcPr>
            <w:tcW w:w="150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5360" w:type="dxa"/>
            <w:vAlign w:val="bottom"/>
            <w:tcBorders>
              <w:right w:val="single" w:sz="8" w:color="auto"/>
            </w:tcBorders>
            <w:gridSpan w:val="6"/>
          </w:tcPr>
          <w:p>
            <w:pPr>
              <w:spacing w:after="0" w:line="20" w:lineRule="exact"/>
              <w:rPr>
                <w:sz w:val="1"/>
                <w:szCs w:val="1"/>
                <w:color w:val="auto"/>
              </w:rPr>
            </w:pPr>
          </w:p>
        </w:tc>
      </w:tr>
      <w:tr>
        <w:trPr>
          <w:trHeight w:val="218"/>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Rate” shall mean the rate of interest per annum announced by Bank as its prime rate in effect at its</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9"/>
              </w:rPr>
              <w:t>principal office in the State of California (such Bank-announced Prime Rate not being intended to be</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the lowest rate of interest charged by Bank in connection with extensions of credit to debtors);</w:t>
            </w:r>
          </w:p>
        </w:tc>
      </w:tr>
      <w:tr>
        <w:trPr>
          <w:trHeight w:val="216"/>
        </w:trPr>
        <w:tc>
          <w:tcPr>
            <w:tcW w:w="15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provided that, in the event such rate of interest is less than 0.0% per annum, such rate shall be</w:t>
            </w:r>
          </w:p>
        </w:tc>
      </w:tr>
      <w:tr>
        <w:trPr>
          <w:trHeight w:val="234"/>
        </w:trPr>
        <w:tc>
          <w:tcPr>
            <w:tcW w:w="150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deemed to be 0.0% per annum for purposes of this Agreement.</w:t>
            </w:r>
          </w:p>
        </w:tc>
      </w:tr>
      <w:tr>
        <w:trPr>
          <w:trHeight w:val="210"/>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“Term Loan Availability Amount”</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Availability Amount</w:t>
            </w:r>
            <w:r>
              <w:rPr>
                <w:rFonts w:ascii="Times New Roman" w:cs="Times New Roman" w:eastAsia="Times New Roman" w:hAnsi="Times New Roman"/>
                <w:sz w:val="18"/>
                <w:szCs w:val="18"/>
                <w:color w:val="auto"/>
              </w:rPr>
              <w:t>” is an aggregate principal amount equal to $10,000,000.00.</w:t>
            </w:r>
          </w:p>
        </w:tc>
      </w:tr>
      <w:tr>
        <w:trPr>
          <w:trHeight w:val="210"/>
        </w:trPr>
        <w:tc>
          <w:tcPr>
            <w:tcW w:w="39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12.2 – “Term Loan Maturity Date”</w:t>
            </w:r>
          </w:p>
        </w:tc>
        <w:tc>
          <w:tcPr>
            <w:tcW w:w="728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June 1, 2025.</w:t>
            </w:r>
          </w:p>
        </w:tc>
      </w:tr>
      <w:tr>
        <w:trPr>
          <w:trHeight w:val="433"/>
        </w:trPr>
        <w:tc>
          <w:tcPr>
            <w:tcW w:w="1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7"/>
          </w:tcPr>
          <w:p>
            <w:pPr>
              <w:jc w:val="center"/>
              <w:ind w:right="5080"/>
              <w:spacing w:after="0"/>
              <w:rPr>
                <w:sz w:val="20"/>
                <w:szCs w:val="20"/>
                <w:color w:val="auto"/>
              </w:rPr>
            </w:pPr>
            <w:r>
              <w:rPr>
                <w:rFonts w:ascii="Times New Roman" w:cs="Times New Roman" w:eastAsia="Times New Roman" w:hAnsi="Times New Roman"/>
                <w:sz w:val="18"/>
                <w:szCs w:val="18"/>
                <w:color w:val="auto"/>
                <w:w w:val="95"/>
              </w:rPr>
              <w:t>I-1</w:t>
            </w:r>
          </w:p>
        </w:tc>
      </w:tr>
    </w:tbl>
    <w:p>
      <w:pPr>
        <w:sectPr>
          <w:pgSz w:w="11900" w:h="16838" w:orient="portrait"/>
          <w:cols w:equalWidth="0" w:num="1">
            <w:col w:w="11240"/>
          </w:cols>
          <w:pgMar w:left="320" w:top="675"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21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440" w:type="dxa"/>
            <w:vAlign w:val="bottom"/>
            <w:gridSpan w:val="5"/>
          </w:tcPr>
          <w:p>
            <w:pPr>
              <w:jc w:val="center"/>
              <w:ind w:right="7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COMPLIANCE STATEMENT</w:t>
            </w:r>
          </w:p>
        </w:tc>
      </w:tr>
      <w:tr>
        <w:trPr>
          <w:trHeight w:val="44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SILICON VALLEY BANK</w:t>
            </w:r>
          </w:p>
        </w:tc>
        <w:tc>
          <w:tcPr>
            <w:tcW w:w="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2"/>
              </w:rPr>
              <w:t>Date:</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CELSION CORPORATION</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-144780</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1"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Borrower is in complete compliance for the period ending _______________ with all required</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indicate compliance status by circling Yes/No under “Complies” column.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20" w:type="dxa"/>
            <w:vAlign w:val="bottom"/>
            <w:tcBorders>
              <w:top w:val="single" w:sz="8" w:color="auto"/>
              <w:left w:val="single" w:sz="8" w:color="auto"/>
            </w:tcBorders>
          </w:tcPr>
          <w:p>
            <w:pPr>
              <w:spacing w:after="0"/>
              <w:rPr>
                <w:sz w:val="16"/>
                <w:szCs w:val="16"/>
                <w:color w:val="auto"/>
              </w:rPr>
            </w:pPr>
          </w:p>
        </w:tc>
        <w:tc>
          <w:tcPr>
            <w:tcW w:w="36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Reporting Covenants</w:t>
            </w:r>
          </w:p>
        </w:tc>
        <w:tc>
          <w:tcPr>
            <w:tcW w:w="3360" w:type="dxa"/>
            <w:vAlign w:val="bottom"/>
            <w:tcBorders>
              <w:top w:val="single" w:sz="8" w:color="auto"/>
              <w:right w:val="single" w:sz="8" w:color="auto"/>
            </w:tcBorders>
            <w:gridSpan w:val="3"/>
          </w:tcPr>
          <w:p>
            <w:pPr>
              <w:ind w:left="1300"/>
              <w:spacing w:after="0" w:line="189"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74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Complies</w:t>
            </w:r>
          </w:p>
        </w:tc>
      </w:tr>
      <w:tr>
        <w:trPr>
          <w:trHeight w:val="21"/>
        </w:trPr>
        <w:tc>
          <w:tcPr>
            <w:tcW w:w="202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02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209"/>
        </w:trPr>
        <w:tc>
          <w:tcPr>
            <w:tcW w:w="56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Compliance Statement</w:t>
            </w:r>
          </w:p>
        </w:tc>
        <w:tc>
          <w:tcPr>
            <w:tcW w:w="33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Quarterly within 45 days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1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09"/>
        </w:trPr>
        <w:tc>
          <w:tcPr>
            <w:tcW w:w="56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10-Q Report</w:t>
            </w:r>
          </w:p>
        </w:tc>
        <w:tc>
          <w:tcPr>
            <w:tcW w:w="33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Within 45 days of Q1, Q2, and Q3</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210"/>
        </w:trPr>
        <w:tc>
          <w:tcPr>
            <w:tcW w:w="56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10-K Report and Annual financial statements (CPA Audited)</w:t>
            </w:r>
          </w:p>
        </w:tc>
        <w:tc>
          <w:tcPr>
            <w:tcW w:w="33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FYE within 90 days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1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28"/>
        </w:trPr>
        <w:tc>
          <w:tcPr>
            <w:tcW w:w="566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Filed 10-Q, 10-K and 8-K</w:t>
            </w:r>
          </w:p>
        </w:tc>
        <w:tc>
          <w:tcPr>
            <w:tcW w:w="3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Promptly after filing with</w:t>
            </w:r>
          </w:p>
        </w:tc>
        <w:tc>
          <w:tcPr>
            <w:tcW w:w="74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1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414"/>
        </w:trPr>
        <w:tc>
          <w:tcPr>
            <w:tcW w:w="202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w:t>
            </w: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r>
      <w:tr>
        <w:trPr>
          <w:trHeight w:val="209"/>
        </w:trPr>
        <w:tc>
          <w:tcPr>
            <w:tcW w:w="56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Board approved projections</w:t>
            </w:r>
          </w:p>
        </w:tc>
        <w:tc>
          <w:tcPr>
            <w:tcW w:w="33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FYE within 90 days and as amended/updated</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12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0"/>
        </w:trPr>
        <w:tc>
          <w:tcPr>
            <w:tcW w:w="202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r>
      <w:tr>
        <w:trPr>
          <w:trHeight w:val="426"/>
        </w:trPr>
        <w:tc>
          <w:tcPr>
            <w:tcW w:w="202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75"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LOAN PAYMENT/ADVANCE REQUEST FORM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eadline for same day processing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astern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8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Date: _____________________________</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tc>
        <w:tc>
          <w:tcPr>
            <w:tcW w:w="68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CELSION CORPORATION</w:t>
            </w:r>
          </w:p>
        </w:tc>
        <w:tc>
          <w:tcPr>
            <w:tcW w:w="0" w:type="dxa"/>
            <w:vAlign w:val="bottom"/>
          </w:tcPr>
          <w:p>
            <w:pPr>
              <w:spacing w:after="0"/>
              <w:rPr>
                <w:sz w:val="1"/>
                <w:szCs w:val="1"/>
                <w:color w:val="auto"/>
              </w:rPr>
            </w:pPr>
          </w:p>
        </w:tc>
      </w:tr>
      <w:tr>
        <w:trPr>
          <w:trHeight w:val="159"/>
        </w:trPr>
        <w:tc>
          <w:tcPr>
            <w:tcW w:w="4440" w:type="dxa"/>
            <w:vAlign w:val="bottom"/>
            <w:tcBorders>
              <w:left w:val="single" w:sz="8" w:color="auto"/>
            </w:tcBorders>
          </w:tcPr>
          <w:p>
            <w:pPr>
              <w:spacing w:after="0"/>
              <w:rPr>
                <w:sz w:val="13"/>
                <w:szCs w:val="13"/>
                <w:color w:val="auto"/>
              </w:rPr>
            </w:pPr>
          </w:p>
        </w:tc>
        <w:tc>
          <w:tcPr>
            <w:tcW w:w="68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40" w:type="dxa"/>
            <w:vAlign w:val="bottom"/>
            <w:tcBorders>
              <w:lef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From Account #__________________________________</w:t>
            </w:r>
          </w:p>
        </w:tc>
        <w:tc>
          <w:tcPr>
            <w:tcW w:w="6800" w:type="dxa"/>
            <w:vAlign w:val="bottom"/>
            <w:tcBorders>
              <w:right w:val="single" w:sz="8" w:color="auto"/>
            </w:tcBorders>
          </w:tcPr>
          <w:p>
            <w:pPr>
              <w:ind w:left="1300"/>
              <w:spacing w:after="0" w:line="202" w:lineRule="exact"/>
              <w:rPr>
                <w:sz w:val="20"/>
                <w:szCs w:val="20"/>
                <w:color w:val="auto"/>
              </w:rPr>
            </w:pPr>
            <w:r>
              <w:rPr>
                <w:rFonts w:ascii="Times New Roman" w:cs="Times New Roman" w:eastAsia="Times New Roman" w:hAnsi="Times New Roman"/>
                <w:sz w:val="18"/>
                <w:szCs w:val="18"/>
                <w:color w:val="auto"/>
              </w:rPr>
              <w:t>To Account#____________________________________</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(Deposit Account #)</w:t>
            </w:r>
          </w:p>
        </w:tc>
        <w:tc>
          <w:tcPr>
            <w:tcW w:w="6800" w:type="dxa"/>
            <w:vAlign w:val="bottom"/>
            <w:tcBorders>
              <w:right w:val="single" w:sz="8" w:color="auto"/>
            </w:tcBorders>
          </w:tcPr>
          <w:p>
            <w:pPr>
              <w:ind w:left="3400"/>
              <w:spacing w:after="0"/>
              <w:rPr>
                <w:sz w:val="20"/>
                <w:szCs w:val="20"/>
                <w:color w:val="auto"/>
              </w:rPr>
            </w:pPr>
            <w:r>
              <w:rPr>
                <w:rFonts w:ascii="Times New Roman" w:cs="Times New Roman" w:eastAsia="Times New Roman" w:hAnsi="Times New Roman"/>
                <w:sz w:val="18"/>
                <w:szCs w:val="18"/>
                <w:color w:val="auto"/>
              </w:rPr>
              <w:t>(Loan Account #)</w:t>
            </w:r>
          </w:p>
        </w:tc>
        <w:tc>
          <w:tcPr>
            <w:tcW w:w="0" w:type="dxa"/>
            <w:vAlign w:val="bottom"/>
          </w:tcPr>
          <w:p>
            <w:pPr>
              <w:spacing w:after="0"/>
              <w:rPr>
                <w:sz w:val="1"/>
                <w:szCs w:val="1"/>
                <w:color w:val="auto"/>
              </w:rPr>
            </w:pPr>
          </w:p>
        </w:tc>
      </w:tr>
      <w:tr>
        <w:trPr>
          <w:trHeight w:val="405"/>
        </w:trPr>
        <w:tc>
          <w:tcPr>
            <w:tcW w:w="4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$______________________________________</w:t>
            </w:r>
          </w:p>
        </w:tc>
        <w:tc>
          <w:tcPr>
            <w:tcW w:w="68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and/or Interest$__________________________________</w:t>
            </w:r>
          </w:p>
        </w:tc>
        <w:tc>
          <w:tcPr>
            <w:tcW w:w="0" w:type="dxa"/>
            <w:vAlign w:val="bottom"/>
          </w:tcPr>
          <w:p>
            <w:pPr>
              <w:spacing w:after="0"/>
              <w:rPr>
                <w:sz w:val="1"/>
                <w:szCs w:val="1"/>
                <w:color w:val="auto"/>
              </w:rPr>
            </w:pPr>
          </w:p>
        </w:tc>
      </w:tr>
      <w:tr>
        <w:trPr>
          <w:trHeight w:val="405"/>
        </w:trPr>
        <w:tc>
          <w:tcPr>
            <w:tcW w:w="4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Authorized Signature:</w:t>
            </w:r>
          </w:p>
        </w:tc>
        <w:tc>
          <w:tcPr>
            <w:tcW w:w="68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Phone Number:__________________________________</w:t>
            </w:r>
          </w:p>
        </w:tc>
        <w:tc>
          <w:tcPr>
            <w:tcW w:w="0" w:type="dxa"/>
            <w:vAlign w:val="bottom"/>
          </w:tcPr>
          <w:p>
            <w:pPr>
              <w:spacing w:after="0"/>
              <w:rPr>
                <w:sz w:val="1"/>
                <w:szCs w:val="1"/>
                <w:color w:val="auto"/>
              </w:rPr>
            </w:pPr>
          </w:p>
        </w:tc>
      </w:tr>
      <w:tr>
        <w:trPr>
          <w:trHeight w:val="405"/>
        </w:trPr>
        <w:tc>
          <w:tcPr>
            <w:tcW w:w="4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 Name/Title: _________________________________</w:t>
            </w:r>
          </w:p>
        </w:tc>
        <w:tc>
          <w:tcPr>
            <w:tcW w:w="6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40" w:type="dxa"/>
            <w:vAlign w:val="bottom"/>
            <w:tcBorders>
              <w:left w:val="single" w:sz="8" w:color="auto"/>
              <w:bottom w:val="single" w:sz="8" w:color="auto"/>
            </w:tcBorders>
          </w:tcPr>
          <w:p>
            <w:pPr>
              <w:spacing w:after="0"/>
              <w:rPr>
                <w:sz w:val="19"/>
                <w:szCs w:val="19"/>
                <w:color w:val="auto"/>
              </w:rPr>
            </w:pPr>
          </w:p>
        </w:tc>
        <w:tc>
          <w:tcPr>
            <w:tcW w:w="6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dvance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2430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36130" cy="243014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Complete </w:t>
      </w:r>
      <w:r>
        <w:rPr>
          <w:rFonts w:ascii="Times New Roman" w:cs="Times New Roman" w:eastAsia="Times New Roman" w:hAnsi="Times New Roman"/>
          <w:sz w:val="18"/>
          <w:szCs w:val="18"/>
          <w:i w:val="1"/>
          <w:iCs w:val="1"/>
          <w:color w:val="auto"/>
        </w:rPr>
        <w:t>Outgoing Wire Request</w:t>
      </w:r>
      <w:r>
        <w:rPr>
          <w:rFonts w:ascii="Times New Roman" w:cs="Times New Roman" w:eastAsia="Times New Roman" w:hAnsi="Times New Roman"/>
          <w:sz w:val="18"/>
          <w:szCs w:val="18"/>
          <w:color w:val="auto"/>
        </w:rPr>
        <w:t xml:space="preserve"> section below if all or a portion of the funds from this loan advance are for an outgoing wire.</w:t>
      </w:r>
    </w:p>
    <w:p>
      <w:pPr>
        <w:spacing w:after="0" w:line="214"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From Account #_________________________________</w:t>
      </w:r>
      <w:r>
        <w:rPr>
          <w:sz w:val="20"/>
          <w:szCs w:val="20"/>
          <w:color w:val="auto"/>
        </w:rPr>
        <w:tab/>
      </w:r>
      <w:r>
        <w:rPr>
          <w:rFonts w:ascii="Times New Roman" w:cs="Times New Roman" w:eastAsia="Times New Roman" w:hAnsi="Times New Roman"/>
          <w:sz w:val="17"/>
          <w:szCs w:val="17"/>
          <w:color w:val="auto"/>
        </w:rPr>
        <w:t>To Account#____________________________________</w:t>
      </w:r>
    </w:p>
    <w:p>
      <w:pPr>
        <w:spacing w:after="0" w:line="16" w:lineRule="exact"/>
        <w:rPr>
          <w:sz w:val="20"/>
          <w:szCs w:val="20"/>
          <w:color w:val="auto"/>
        </w:rPr>
      </w:pPr>
    </w:p>
    <w:p>
      <w:pPr>
        <w:ind w:left="2140"/>
        <w:spacing w:after="0"/>
        <w:tabs>
          <w:tab w:leader="none" w:pos="7720" w:val="left"/>
        </w:tabs>
        <w:rPr>
          <w:sz w:val="20"/>
          <w:szCs w:val="20"/>
          <w:color w:val="auto"/>
        </w:rPr>
      </w:pPr>
      <w:r>
        <w:rPr>
          <w:rFonts w:ascii="Times New Roman" w:cs="Times New Roman" w:eastAsia="Times New Roman" w:hAnsi="Times New Roman"/>
          <w:sz w:val="18"/>
          <w:szCs w:val="18"/>
          <w:color w:val="auto"/>
        </w:rPr>
        <w:t>(Loan Account #)</w:t>
      </w:r>
      <w:r>
        <w:rPr>
          <w:sz w:val="20"/>
          <w:szCs w:val="20"/>
          <w:color w:val="auto"/>
        </w:rPr>
        <w:tab/>
      </w:r>
      <w:r>
        <w:rPr>
          <w:rFonts w:ascii="Times New Roman" w:cs="Times New Roman" w:eastAsia="Times New Roman" w:hAnsi="Times New Roman"/>
          <w:sz w:val="18"/>
          <w:szCs w:val="18"/>
          <w:color w:val="auto"/>
        </w:rPr>
        <w:t>(Deposit Account #)</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 of Term Loan Advance $ ____________________</w:t>
      </w:r>
    </w:p>
    <w:p>
      <w:pPr>
        <w:spacing w:after="0" w:line="225"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66"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Authorized Signature: _____________________________</w:t>
      </w:r>
      <w:r>
        <w:rPr>
          <w:sz w:val="20"/>
          <w:szCs w:val="20"/>
          <w:color w:val="auto"/>
        </w:rPr>
        <w:tab/>
      </w:r>
      <w:r>
        <w:rPr>
          <w:rFonts w:ascii="Times New Roman" w:cs="Times New Roman" w:eastAsia="Times New Roman" w:hAnsi="Times New Roman"/>
          <w:sz w:val="17"/>
          <w:szCs w:val="17"/>
          <w:color w:val="auto"/>
        </w:rPr>
        <w:t>Phone Number: __________________________________</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Name/Title: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7136130" cy="3347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36130" cy="33470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utgoing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equest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Deadline for same day processing is noon, Eastern Time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Beneficiary Name: ______________________________</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Amount of Wire: $_____________________________</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Beneficiary Bank: _______________________________</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Account Number: ______________________________</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City and State: _________________________________</w:t>
            </w:r>
          </w:p>
        </w:tc>
        <w:tc>
          <w:tcPr>
            <w:tcW w:w="47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Beneficiary Bank Transit (ABA) #: ___________________</w:t>
            </w:r>
          </w:p>
        </w:tc>
        <w:tc>
          <w:tcPr>
            <w:tcW w:w="5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Beneficiary Bank Code (Swift, Sort, Chip, etc.): __________</w:t>
            </w:r>
          </w:p>
        </w:tc>
      </w:tr>
      <w:tr>
        <w:trPr>
          <w:trHeight w:val="237"/>
        </w:trPr>
        <w:tc>
          <w:tcPr>
            <w:tcW w:w="4380" w:type="dxa"/>
            <w:vAlign w:val="bottom"/>
          </w:tcPr>
          <w:p>
            <w:pPr>
              <w:spacing w:after="0"/>
              <w:rPr>
                <w:sz w:val="20"/>
                <w:szCs w:val="20"/>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 International Wire Only)</w:t>
            </w:r>
          </w:p>
        </w:tc>
        <w:tc>
          <w:tcPr>
            <w:tcW w:w="900" w:type="dxa"/>
            <w:vAlign w:val="bottom"/>
            <w:tcBorders>
              <w:top w:val="single" w:sz="8" w:color="auto"/>
            </w:tcBorders>
          </w:tcPr>
          <w:p>
            <w:pPr>
              <w:spacing w:after="0"/>
              <w:rPr>
                <w:sz w:val="20"/>
                <w:szCs w:val="20"/>
                <w:color w:val="auto"/>
              </w:rPr>
            </w:pPr>
          </w:p>
        </w:tc>
      </w:tr>
      <w:tr>
        <w:trPr>
          <w:trHeight w:val="4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Intermediary Bank: _____________________________</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Transit (ABA) #: _______________________________</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 Further Credit to: ____________________________</w:t>
            </w:r>
          </w:p>
        </w:tc>
        <w:tc>
          <w:tcPr>
            <w:tcW w:w="47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Special Instruction: </w:t>
      </w:r>
      <w:r>
        <w:rPr>
          <w:rFonts w:ascii="Times New Roman" w:cs="Times New Roman" w:eastAsia="Times New Roman" w:hAnsi="Times New Roman"/>
          <w:sz w:val="18"/>
          <w:szCs w:val="18"/>
          <w:u w:val="single" w:color="auto"/>
          <w:color w:val="auto"/>
        </w:rPr>
        <w:t>________________________________________________________________________________</w:t>
      </w:r>
    </w:p>
    <w:p>
      <w:pPr>
        <w:spacing w:after="0" w:line="223" w:lineRule="exact"/>
        <w:rPr>
          <w:sz w:val="20"/>
          <w:szCs w:val="20"/>
          <w:color w:val="auto"/>
        </w:rPr>
      </w:pPr>
    </w:p>
    <w:p>
      <w:pPr>
        <w:ind w:left="20" w:right="20"/>
        <w:spacing w:after="0" w:line="284" w:lineRule="auto"/>
        <w:rPr>
          <w:sz w:val="20"/>
          <w:szCs w:val="20"/>
          <w:color w:val="auto"/>
        </w:rPr>
      </w:pPr>
      <w:r>
        <w:rPr>
          <w:rFonts w:ascii="Times New Roman" w:cs="Times New Roman" w:eastAsia="Times New Roman" w:hAnsi="Times New Roman"/>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Signature: ___________________________</w:t>
            </w:r>
          </w:p>
        </w:tc>
        <w:tc>
          <w:tcPr>
            <w:tcW w:w="6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Signature (if required): ________________________</w:t>
            </w:r>
          </w:p>
        </w:tc>
      </w:tr>
      <w:tr>
        <w:trPr>
          <w:trHeight w:val="29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 Name/Title: ______________________________</w:t>
            </w:r>
          </w:p>
        </w:tc>
        <w:tc>
          <w:tcPr>
            <w:tcW w:w="6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Print Name/Title:_______________________________</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 _________________________________</w:t>
            </w:r>
          </w:p>
        </w:tc>
        <w:tc>
          <w:tcPr>
            <w:tcW w:w="6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Telephone #: __________________________________</w:t>
            </w:r>
          </w:p>
        </w:tc>
      </w:tr>
      <w:tr>
        <w:trPr>
          <w:trHeight w:val="668"/>
        </w:trPr>
        <w:tc>
          <w:tcPr>
            <w:tcW w:w="49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Imunon, Inc.</w:t>
            </w:r>
          </w:p>
        </w:tc>
        <w:tc>
          <w:tcPr>
            <w:tcW w:w="5500" w:type="dxa"/>
            <w:vAlign w:val="bottom"/>
          </w:tcPr>
          <w:p>
            <w:pPr>
              <w:spacing w:after="0"/>
              <w:rPr>
                <w:sz w:val="20"/>
                <w:szCs w:val="20"/>
                <w:color w:val="auto"/>
              </w:rPr>
            </w:pPr>
          </w:p>
        </w:tc>
      </w:tr>
      <w:tr>
        <w:trPr>
          <w:trHeight w:val="43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CLSN Laboratories, Inc.</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Celsion GmbH</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Imunon, Inc. on Form S-1 (333-221543, 333-219414, 333-217156, 333-214353 and 333-234603), Form S-3 (Nos. 333-174960, 333-183286, 333-198786, 333-193936, 333-205608, 333-206789 and 333-227236) and on Form S-8 (Nos. 33 139784, 333-145680, 333-183288, 333-207864) of our report dated March 30, 2023, relating to the consolidated financial statements,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these Registration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EXECUTIVE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Corrine Le Goff, certify that:</w:t>
      </w:r>
    </w:p>
    <w:p>
      <w:pPr>
        <w:spacing w:after="0" w:line="225"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i w:val="1"/>
          <w:iCs w:val="1"/>
          <w:color w:val="auto"/>
        </w:rPr>
        <w:t>/s/ Corrine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Corrine Le Goff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FINANCIAL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2022, as filed with the Securities and Exchange Commission on or about March 30, 2023 (the “Report”), I, Corrine Le Goff,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8"/>
          <w:szCs w:val="18"/>
          <w:i w:val="1"/>
          <w:iCs w:val="1"/>
          <w:color w:val="auto"/>
        </w:rPr>
        <w:t>/s/ Corrine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Corrine Le Goff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2022, as filed with the Securities and Exchange Commission on or about March Date: March 30, 2023 (the “Report”), I, Jeffrey W. Church, Executive Vice President and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30, 2023</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lowerRoman"/>
      <w:start w:val="1"/>
    </w:lvl>
  </w:abstractNum>
  <w:abstractNum w:abstractNumId="4">
    <w:nsid w:val="579478FE"/>
    <w:multiLevelType w:val="hybridMultilevel"/>
    <w:lvl w:ilvl="0">
      <w:lvlJc w:val="left"/>
      <w:lvlText w:val="(%1)"/>
      <w:numFmt w:val="lowerRoman"/>
      <w:start w:val="2"/>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lvl w:ilvl="1">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lvl w:ilvl="1">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lvl w:ilvl="1">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lowerRoman"/>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lvl w:ilvl="1">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2"/>
    </w:lvl>
  </w:abstractNum>
  <w:abstractNum w:abstractNumId="41">
    <w:nsid w:val="5DB70AE5"/>
    <w:multiLevelType w:val="hybridMultilevel"/>
    <w:lvl w:ilvl="0">
      <w:lvlJc w:val="left"/>
      <w:lvlText w:val="(%1)"/>
      <w:numFmt w:val="lowerLetter"/>
      <w:start w:val="3"/>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Letter"/>
      <w:start w:val="1"/>
    </w:lvl>
    <w:lvl w:ilvl="1">
      <w:lvlJc w:val="left"/>
      <w:lvlText w:val="(%2)"/>
      <w:numFmt w:val="lowerRoman"/>
      <w:start w:val="1"/>
    </w:lvl>
  </w:abstractNum>
  <w:abstractNum w:abstractNumId="52">
    <w:nsid w:val="661E3F1E"/>
    <w:multiLevelType w:val="hybridMultilevel"/>
    <w:lvl w:ilvl="0">
      <w:lvlJc w:val="left"/>
      <w:lvlText w:val="(%1)"/>
      <w:numFmt w:val="lowerLetter"/>
      <w:start w:val="4"/>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1"/>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5"/>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lvl w:ilvl="1">
      <w:lvlJc w:val="left"/>
      <w:lvlText w:val="(%2)"/>
      <w:numFmt w:val="lowerLetter"/>
      <w:start w:val="1"/>
    </w:lvl>
  </w:abstractNum>
  <w:abstractNum w:abstractNumId="60">
    <w:nsid w:val="42963E5A"/>
    <w:multiLevelType w:val="hybridMultilevel"/>
    <w:lvl w:ilvl="0">
      <w:lvlJc w:val="left"/>
      <w:lvlText w:val="(%1)"/>
      <w:numFmt w:val="lowerLetter"/>
      <w:start w:val="35"/>
    </w:lvl>
    <w:lvl w:ilvl="1">
      <w:lvlJc w:val="left"/>
      <w:lvlText w:val="(%2)"/>
      <w:numFmt w:val="lowerLetter"/>
      <w:start w:val="4"/>
    </w:lvl>
  </w:abstractNum>
  <w:abstractNum w:abstractNumId="61">
    <w:nsid w:val="A0382C5"/>
    <w:multiLevelType w:val="hybridMultilevel"/>
    <w:lvl w:ilvl="0">
      <w:lvlJc w:val="left"/>
      <w:lvlText w:val="(%1)"/>
      <w:numFmt w:val="lowerLetter"/>
      <w:start w:val="7"/>
    </w:lvl>
  </w:abstractNum>
  <w:abstractNum w:abstractNumId="62">
    <w:nsid w:val="8F2B15E"/>
    <w:multiLevelType w:val="hybridMultilevel"/>
    <w:lvl w:ilvl="0">
      <w:lvlJc w:val="left"/>
      <w:lvlText w:val="(%1)"/>
      <w:numFmt w:val="lowerLetter"/>
      <w:start w:val="2"/>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1"/>
    </w:lvl>
    <w:lvl w:ilvl="1">
      <w:lvlJc w:val="left"/>
      <w:lvlText w:val="(%2)"/>
      <w:numFmt w:val="lowerLetter"/>
      <w:start w:val="1"/>
    </w:lvl>
  </w:abstractNum>
  <w:abstractNum w:abstractNumId="67">
    <w:nsid w:val="60B6DF70"/>
    <w:multiLevelType w:val="hybridMultilevel"/>
    <w:lvl w:ilvl="0">
      <w:lvlJc w:val="left"/>
      <w:lvlText w:val="(%1)"/>
      <w:numFmt w:val="lowerLetter"/>
      <w:start w:val="2"/>
    </w:lvl>
    <w:lvl w:ilvl="1">
      <w:lvlJc w:val="left"/>
      <w:lvlText w:val="(%2)"/>
      <w:numFmt w:val="lowerLetter"/>
      <w:start w:val="2"/>
    </w:lvl>
  </w:abstractNum>
  <w:abstractNum w:abstractNumId="68">
    <w:nsid w:val="6A5EE64"/>
    <w:multiLevelType w:val="hybridMultilevel"/>
    <w:lvl w:ilvl="0">
      <w:lvlJc w:val="left"/>
      <w:lvlText w:val="(%1)"/>
      <w:numFmt w:val="lowerLetter"/>
      <w:start w:val="3"/>
    </w:lvl>
    <w:lvl w:ilvl="1">
      <w:lvlJc w:val="left"/>
      <w:lvlText w:val="(%2)"/>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2"/>
    </w:lvl>
  </w:abstractNum>
  <w:abstractNum w:abstractNumId="71">
    <w:nsid w:val="1A27709E"/>
    <w:multiLevelType w:val="hybridMultilevel"/>
    <w:lvl w:ilvl="0">
      <w:lvlJc w:val="left"/>
      <w:lvlText w:val="(%1)"/>
      <w:numFmt w:val="lowerLetter"/>
      <w:start w:val="1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2"/>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2"/>
    </w:lvl>
  </w:abstractNum>
  <w:abstractNum w:abstractNumId="80">
    <w:nsid w:val="4C04A8AF"/>
    <w:multiLevelType w:val="hybridMultilevel"/>
    <w:lvl w:ilvl="0">
      <w:lvlJc w:val="left"/>
      <w:lvlText w:val="9"/>
      <w:numFmt w:val="bullet"/>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5"/>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81" Type="http://schemas.openxmlformats.org/officeDocument/2006/relationships/hyperlink" Target="https://www.sec.gov/Archives/edgar/data/749647/000143774914014489/ex2-1.htm" TargetMode="External"/><Relationship Id="rId82" Type="http://schemas.openxmlformats.org/officeDocument/2006/relationships/hyperlink" Target="https://www.sec.gov/Archives/edgar/data/749647/000149315219004381/ex10-1.htm" TargetMode="External"/><Relationship Id="rId83" Type="http://schemas.openxmlformats.org/officeDocument/2006/relationships/hyperlink" Target="https://www.sec.gov/Archives/edgar/data/749647/000149315223008888/ex3-1.htm" TargetMode="External"/><Relationship Id="rId84" Type="http://schemas.openxmlformats.org/officeDocument/2006/relationships/hyperlink" Target="https://www.sec.gov/Archives/edgar/data/749647/000149315222026238/ex3-3.htm" TargetMode="External"/><Relationship Id="rId85" Type="http://schemas.openxmlformats.org/officeDocument/2006/relationships/hyperlink" Target="https://www.sec.gov/Archives/edgar/data/749647/000143774917017965/ex_98287.htm" TargetMode="External"/><Relationship Id="rId86" Type="http://schemas.openxmlformats.org/officeDocument/2006/relationships/hyperlink" Target="https://www.sec.gov/Archives/edgar/data/749647/000143774917012481/ex4-4.htm" TargetMode="External"/><Relationship Id="rId87" Type="http://schemas.openxmlformats.org/officeDocument/2006/relationships/hyperlink" Target="https://www.sec.gov/Archives/edgar/data/749647/000149315220017312/ex4-1.htm" TargetMode="External"/><Relationship Id="rId88" Type="http://schemas.openxmlformats.org/officeDocument/2006/relationships/hyperlink" Target="https://www.sec.gov/Archives/edgar/data/749647/000149315220003910/ex4-1.htm" TargetMode="External"/><Relationship Id="rId89" Type="http://schemas.openxmlformats.org/officeDocument/2006/relationships/hyperlink" Target="https://www.sec.gov/Archives/edgar/data/749647/000149315219007214/ex4-1.htm" TargetMode="External"/><Relationship Id="rId90" Type="http://schemas.openxmlformats.org/officeDocument/2006/relationships/hyperlink" Target="https://www.sec.gov/Archives/edgar/data/749647/000149315220004717/ex4-5.htm" TargetMode="External"/><Relationship Id="rId91" Type="http://schemas.openxmlformats.org/officeDocument/2006/relationships/hyperlink" Target="https://www.sec.gov/Archives/edgar/data/749647/000143774917009400/ex10-1.htm" TargetMode="External"/><Relationship Id="rId92" Type="http://schemas.openxmlformats.org/officeDocument/2006/relationships/hyperlink" Target="https://www.sec.gov/Archives/edgar/data/749647/000143774917019215/ex_99691.htm" TargetMode="External"/><Relationship Id="rId93" Type="http://schemas.openxmlformats.org/officeDocument/2006/relationships/hyperlink" Target="https://www.sec.gov/Archives/edgar/data/749647/000143774918010040/ex_114605.htm" TargetMode="External"/><Relationship Id="rId94" Type="http://schemas.openxmlformats.org/officeDocument/2006/relationships/hyperlink" Target="https://www.sec.gov/Archives/edgar/data/749647/000149315219007203/ex10-1.htm" TargetMode="External"/><Relationship Id="rId95" Type="http://schemas.openxmlformats.org/officeDocument/2006/relationships/hyperlink" Target="https://www.sec.gov/Archives/edgar/data/749647/000149315220011263/ex10-1.htm" TargetMode="External"/><Relationship Id="rId96" Type="http://schemas.openxmlformats.org/officeDocument/2006/relationships/hyperlink" Target="https://www.sec.gov/Archives/edgar/data/749647/000149315221014023/ex10-1.htm" TargetMode="External"/><Relationship Id="rId97" Type="http://schemas.openxmlformats.org/officeDocument/2006/relationships/hyperlink" Target="https://www.sec.gov/Archives/edgar/data/749647/000074964710000024/offerletter.htm" TargetMode="External"/><Relationship Id="rId98" Type="http://schemas.openxmlformats.org/officeDocument/2006/relationships/hyperlink" Target="https://www.sec.gov/Archives/edgar/data/749647/000143774915004805/ex10-27.htm" TargetMode="External"/><Relationship Id="rId99" Type="http://schemas.openxmlformats.org/officeDocument/2006/relationships/hyperlink" Target="https://www.sec.gov/Archives/edgar/data/749647/000149315222019765/ex10-2.htm" TargetMode="External"/><Relationship Id="rId100" Type="http://schemas.openxmlformats.org/officeDocument/2006/relationships/hyperlink" Target="https://www.sec.gov/Archives/edgar/data/749647/000149315222019765/ex10-1.htm" TargetMode="External"/><Relationship Id="rId101" Type="http://schemas.openxmlformats.org/officeDocument/2006/relationships/hyperlink" Target="https://www.sec.gov/Archives/edgar/data/749647/000143774916041670/ex10-1.htm" TargetMode="External"/><Relationship Id="rId102" Type="http://schemas.openxmlformats.org/officeDocument/2006/relationships/hyperlink" Target="https://www.sec.gov/Archives/edgar/data/749647/000143774916041670/ex10-3.htm" TargetMode="External"/><Relationship Id="rId103" Type="http://schemas.openxmlformats.org/officeDocument/2006/relationships/hyperlink" Target="https://www.sec.gov/Archives/edgar/data/749647/000093173199000517/0000931731-99-000517.txt" TargetMode="External"/><Relationship Id="rId104" Type="http://schemas.openxmlformats.org/officeDocument/2006/relationships/hyperlink" Target="https://www.sec.gov/Archives/edgar/data/749647/000100515003001416/ex10-1.txt" TargetMode="External"/><Relationship Id="rId105" Type="http://schemas.openxmlformats.org/officeDocument/2006/relationships/hyperlink" Target="https://www.sec.gov/Archives/edgar/data/749647/000104746909003319/a2191931zex-10_15.htm" TargetMode="External"/><Relationship Id="rId106" Type="http://schemas.openxmlformats.org/officeDocument/2006/relationships/hyperlink" Target="https://www.sec.gov/Archives/edgar/data/749647/000074964711000009/amend2yakult.htm" TargetMode="External"/><Relationship Id="rId107" Type="http://schemas.openxmlformats.org/officeDocument/2006/relationships/hyperlink" Target="https://www.sec.gov/Archives/edgar/data/749647/000143774912008356/ex10-2.htm" TargetMode="External"/><Relationship Id="rId108" Type="http://schemas.openxmlformats.org/officeDocument/2006/relationships/hyperlink" Target="https://www.sec.gov/Archives/edgar/data/749647/000143774913005568/ex10-1.htm" TargetMode="External"/><Relationship Id="rId109" Type="http://schemas.openxmlformats.org/officeDocument/2006/relationships/hyperlink" Target="https://www.sec.gov/Archives/edgar/data/749647/000074964711000106/exhibit99_1.htm" TargetMode="External"/><Relationship Id="rId110" Type="http://schemas.openxmlformats.org/officeDocument/2006/relationships/hyperlink" Target="https://www.sec.gov/Archives/edgar/data/749647/000143774917019215/ex_99690.htm" TargetMode="External"/><Relationship Id="rId111" Type="http://schemas.openxmlformats.org/officeDocument/2006/relationships/hyperlink" Target="https://www.sec.gov/Archives/edgar/data/749647/000149315219007214/ex10-1.htm" TargetMode="External"/><Relationship Id="rId112" Type="http://schemas.openxmlformats.org/officeDocument/2006/relationships/hyperlink" Target="https://www.sec.gov/Archives/edgar/data/749647/000143774918009535/ex_113795.htm" TargetMode="External"/><Relationship Id="rId113" Type="http://schemas.openxmlformats.org/officeDocument/2006/relationships/hyperlink" Target="https://www.sec.gov/Archives/edgar/data/749647/000143774914014489/ex4-1.htm" TargetMode="External"/><Relationship Id="rId114" Type="http://schemas.openxmlformats.org/officeDocument/2006/relationships/hyperlink" Target="https://www.sec.gov/Archives/edgar/data/749647/000143774917002221/ex10-33.htm" TargetMode="External"/><Relationship Id="rId115" Type="http://schemas.openxmlformats.org/officeDocument/2006/relationships/hyperlink" Target="https://www.sec.gov/Archives/edgar/data/749647/000149315220011263/ex10-2.htm" TargetMode="External"/><Relationship Id="rId116" Type="http://schemas.openxmlformats.org/officeDocument/2006/relationships/hyperlink" Target="https://www.sec.gov/Archives/edgar/data/749647/000149315220003910/ex10-1.htm" TargetMode="External"/><Relationship Id="rId117" Type="http://schemas.openxmlformats.org/officeDocument/2006/relationships/hyperlink" Target="https://www.sec.gov/Archives/edgar/data/749647/00014931522201506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2023-03-30T07:28:25Z</dcterms:created>
  <dcterms:modified xsi:type="dcterms:W3CDTF">2023-03-30T07:28:25Z</dcterms:modified>
</cp:coreProperties>
</file>