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020" w:right="2080" w:hanging="3688"/>
        <w:spacing w:after="0" w:line="50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2019</w:t>
      </w: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420" w:right="2060" w:hanging="3088"/>
        <w:spacing w:after="0" w:line="501" w:lineRule="auto"/>
        <w:tabs>
          <w:tab w:leader="none" w:pos="475"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 to ____________</w:t>
      </w:r>
    </w:p>
    <w:p>
      <w:pPr>
        <w:ind w:left="4380"/>
        <w:spacing w:after="0"/>
        <w:rPr>
          <w:rFonts w:ascii="Arial" w:cs="Arial" w:eastAsia="Arial" w:hAnsi="Arial"/>
          <w:sz w:val="18"/>
          <w:szCs w:val="18"/>
          <w:color w:val="auto"/>
        </w:rPr>
      </w:pPr>
      <w:r>
        <w:rPr>
          <w:rFonts w:ascii="Arial" w:cs="Arial" w:eastAsia="Arial" w:hAnsi="Arial"/>
          <w:sz w:val="18"/>
          <w:szCs w:val="18"/>
          <w:color w:val="auto"/>
        </w:rPr>
        <w:t>Commission file number: 001-15911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CELSION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jc w:val="center"/>
              <w:ind w:left="1450"/>
              <w:spacing w:after="0"/>
              <w:rPr>
                <w:sz w:val="20"/>
                <w:szCs w:val="20"/>
                <w:color w:val="auto"/>
              </w:rPr>
            </w:pPr>
            <w:r>
              <w:rPr>
                <w:rFonts w:ascii="Arial" w:cs="Arial" w:eastAsia="Arial" w:hAnsi="Arial"/>
                <w:sz w:val="18"/>
                <w:szCs w:val="18"/>
                <w:b w:val="1"/>
                <w:bCs w:val="1"/>
                <w:color w:val="auto"/>
                <w:w w:val="93"/>
              </w:rPr>
              <w:t>Delaware</w:t>
            </w:r>
          </w:p>
        </w:tc>
        <w:tc>
          <w:tcPr>
            <w:tcW w:w="7340" w:type="dxa"/>
            <w:vAlign w:val="bottom"/>
            <w:gridSpan w:val="3"/>
          </w:tcPr>
          <w:p>
            <w:pPr>
              <w:jc w:val="center"/>
              <w:ind w:left="1650"/>
              <w:spacing w:after="0"/>
              <w:rPr>
                <w:sz w:val="20"/>
                <w:szCs w:val="20"/>
                <w:color w:val="auto"/>
              </w:rPr>
            </w:pPr>
            <w:r>
              <w:rPr>
                <w:rFonts w:ascii="Arial" w:cs="Arial" w:eastAsia="Arial" w:hAnsi="Arial"/>
                <w:sz w:val="18"/>
                <w:szCs w:val="18"/>
                <w:b w:val="1"/>
                <w:bCs w:val="1"/>
                <w:color w:val="auto"/>
                <w:w w:val="91"/>
              </w:rPr>
              <w:t>52-1256615</w:t>
            </w:r>
          </w:p>
        </w:tc>
      </w:tr>
      <w:tr>
        <w:trPr>
          <w:trHeight w:val="202"/>
        </w:trPr>
        <w:tc>
          <w:tcPr>
            <w:tcW w:w="4080" w:type="dxa"/>
            <w:vAlign w:val="bottom"/>
            <w:tcBorders>
              <w:top w:val="single" w:sz="8" w:color="auto"/>
            </w:tcBorders>
          </w:tcPr>
          <w:p>
            <w:pPr>
              <w:jc w:val="center"/>
              <w:ind w:left="1450"/>
              <w:spacing w:after="0" w:line="201" w:lineRule="exact"/>
              <w:rPr>
                <w:sz w:val="20"/>
                <w:szCs w:val="20"/>
                <w:color w:val="auto"/>
              </w:rPr>
            </w:pPr>
            <w:r>
              <w:rPr>
                <w:rFonts w:ascii="Arial" w:cs="Arial" w:eastAsia="Arial" w:hAnsi="Arial"/>
                <w:sz w:val="18"/>
                <w:szCs w:val="18"/>
                <w:color w:val="auto"/>
                <w:w w:val="93"/>
              </w:rPr>
              <w:t>(State or other jurisdiction of</w:t>
            </w: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080" w:type="dxa"/>
            <w:vAlign w:val="bottom"/>
          </w:tcPr>
          <w:p>
            <w:pPr>
              <w:jc w:val="center"/>
              <w:ind w:left="145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080" w:type="dxa"/>
            <w:vAlign w:val="bottom"/>
          </w:tcPr>
          <w:p>
            <w:pPr>
              <w:spacing w:after="0"/>
              <w:rPr>
                <w:sz w:val="24"/>
                <w:szCs w:val="24"/>
                <w:color w:val="auto"/>
              </w:rPr>
            </w:pPr>
          </w:p>
        </w:tc>
        <w:tc>
          <w:tcPr>
            <w:tcW w:w="7340" w:type="dxa"/>
            <w:vAlign w:val="bottom"/>
            <w:gridSpan w:val="3"/>
          </w:tcPr>
          <w:p>
            <w:pPr>
              <w:jc w:val="center"/>
              <w:ind w:right="3990"/>
              <w:spacing w:after="0"/>
              <w:rPr>
                <w:sz w:val="20"/>
                <w:szCs w:val="20"/>
                <w:color w:val="auto"/>
              </w:rPr>
            </w:pPr>
            <w:r>
              <w:rPr>
                <w:rFonts w:ascii="Arial" w:cs="Arial" w:eastAsia="Arial" w:hAnsi="Arial"/>
                <w:sz w:val="18"/>
                <w:szCs w:val="18"/>
                <w:b w:val="1"/>
                <w:bCs w:val="1"/>
                <w:color w:val="auto"/>
                <w:w w:val="90"/>
              </w:rPr>
              <w:t>997 Lenox Drive, Suite 100,</w:t>
            </w:r>
          </w:p>
        </w:tc>
      </w:tr>
      <w:tr>
        <w:trPr>
          <w:trHeight w:val="220"/>
        </w:trPr>
        <w:tc>
          <w:tcPr>
            <w:tcW w:w="4080" w:type="dxa"/>
            <w:vAlign w:val="bottom"/>
          </w:tcPr>
          <w:p>
            <w:pPr>
              <w:spacing w:after="0"/>
              <w:rPr>
                <w:sz w:val="19"/>
                <w:szCs w:val="19"/>
                <w:color w:val="auto"/>
              </w:rPr>
            </w:pPr>
          </w:p>
        </w:tc>
        <w:tc>
          <w:tcPr>
            <w:tcW w:w="7340" w:type="dxa"/>
            <w:vAlign w:val="bottom"/>
            <w:gridSpan w:val="3"/>
          </w:tcPr>
          <w:p>
            <w:pPr>
              <w:jc w:val="center"/>
              <w:ind w:right="3970"/>
              <w:spacing w:after="0"/>
              <w:rPr>
                <w:sz w:val="20"/>
                <w:szCs w:val="20"/>
                <w:color w:val="auto"/>
              </w:rPr>
            </w:pPr>
            <w:r>
              <w:rPr>
                <w:rFonts w:ascii="Arial" w:cs="Arial" w:eastAsia="Arial" w:hAnsi="Arial"/>
                <w:sz w:val="18"/>
                <w:szCs w:val="18"/>
                <w:b w:val="1"/>
                <w:bCs w:val="1"/>
                <w:color w:val="auto"/>
                <w:w w:val="91"/>
              </w:rPr>
              <w:t>Lawrenceville</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NJ 08648</w:t>
            </w:r>
          </w:p>
        </w:tc>
      </w:tr>
      <w:tr>
        <w:trPr>
          <w:trHeight w:val="230"/>
        </w:trPr>
        <w:tc>
          <w:tcPr>
            <w:tcW w:w="4080" w:type="dxa"/>
            <w:vAlign w:val="bottom"/>
          </w:tcPr>
          <w:p>
            <w:pPr>
              <w:spacing w:after="0"/>
              <w:rPr>
                <w:sz w:val="20"/>
                <w:szCs w:val="20"/>
                <w:color w:val="auto"/>
              </w:rPr>
            </w:pPr>
          </w:p>
        </w:tc>
        <w:tc>
          <w:tcPr>
            <w:tcW w:w="7340" w:type="dxa"/>
            <w:vAlign w:val="bottom"/>
            <w:gridSpan w:val="3"/>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47" w:right="239" w:bottom="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22" w:lineRule="exact"/>
        <w:rPr>
          <w:sz w:val="24"/>
          <w:szCs w:val="24"/>
          <w:color w:val="auto"/>
        </w:rPr>
      </w:pPr>
    </w:p>
    <w:p>
      <w:pPr>
        <w:sectPr>
          <w:pgSz w:w="11900" w:h="16838" w:orient="portrait"/>
          <w:cols w:equalWidth="0" w:num="2">
            <w:col w:w="7280" w:space="720"/>
            <w:col w:w="3420"/>
          </w:cols>
          <w:pgMar w:left="240" w:top="747"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456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640" w:type="dxa"/>
            <w:vAlign w:val="bottom"/>
          </w:tcPr>
          <w:p>
            <w:pPr>
              <w:spacing w:after="0"/>
              <w:rPr>
                <w:sz w:val="20"/>
                <w:szCs w:val="20"/>
                <w:color w:val="auto"/>
              </w:rPr>
            </w:pPr>
          </w:p>
        </w:tc>
      </w:tr>
      <w:tr>
        <w:trPr>
          <w:trHeight w:val="418"/>
        </w:trPr>
        <w:tc>
          <w:tcPr>
            <w:tcW w:w="3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Name of each exchange on</w:t>
            </w:r>
          </w:p>
        </w:tc>
      </w:tr>
      <w:tr>
        <w:trPr>
          <w:trHeight w:val="237"/>
        </w:trPr>
        <w:tc>
          <w:tcPr>
            <w:tcW w:w="3220" w:type="dxa"/>
            <w:vAlign w:val="bottom"/>
          </w:tcPr>
          <w:p>
            <w:pPr>
              <w:jc w:val="center"/>
              <w:ind w:left="350"/>
              <w:spacing w:after="0"/>
              <w:rPr>
                <w:sz w:val="20"/>
                <w:szCs w:val="20"/>
                <w:color w:val="auto"/>
              </w:rPr>
            </w:pPr>
            <w:r>
              <w:rPr>
                <w:rFonts w:ascii="Arial" w:cs="Arial" w:eastAsia="Arial" w:hAnsi="Arial"/>
                <w:sz w:val="18"/>
                <w:szCs w:val="18"/>
                <w:color w:val="auto"/>
                <w:w w:val="90"/>
              </w:rPr>
              <w:t>Title of each class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Trading symbol(s)</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02"/>
        </w:trPr>
        <w:tc>
          <w:tcPr>
            <w:tcW w:w="3220" w:type="dxa"/>
            <w:vAlign w:val="bottom"/>
            <w:tcBorders>
              <w:top w:val="single" w:sz="8" w:color="auto"/>
            </w:tcBorders>
          </w:tcPr>
          <w:p>
            <w:pPr>
              <w:jc w:val="center"/>
              <w:ind w:left="370"/>
              <w:spacing w:after="0" w:line="201" w:lineRule="exact"/>
              <w:rPr>
                <w:sz w:val="20"/>
                <w:szCs w:val="20"/>
                <w:color w:val="auto"/>
              </w:rPr>
            </w:pPr>
            <w:r>
              <w:rPr>
                <w:rFonts w:ascii="Arial" w:cs="Arial" w:eastAsia="Arial" w:hAnsi="Arial"/>
                <w:sz w:val="18"/>
                <w:szCs w:val="18"/>
                <w:color w:val="auto"/>
                <w:w w:val="90"/>
              </w:rPr>
              <w:t>Common stock, par value</w:t>
            </w:r>
          </w:p>
        </w:tc>
        <w:tc>
          <w:tcPr>
            <w:tcW w:w="4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CLSN</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NASDAQ Capital Market</w:t>
            </w:r>
          </w:p>
        </w:tc>
      </w:tr>
      <w:tr>
        <w:trPr>
          <w:trHeight w:val="230"/>
        </w:trPr>
        <w:tc>
          <w:tcPr>
            <w:tcW w:w="3220" w:type="dxa"/>
            <w:vAlign w:val="bottom"/>
          </w:tcPr>
          <w:p>
            <w:pPr>
              <w:jc w:val="center"/>
              <w:ind w:left="370"/>
              <w:spacing w:after="0"/>
              <w:rPr>
                <w:sz w:val="20"/>
                <w:szCs w:val="20"/>
                <w:color w:val="auto"/>
              </w:rPr>
            </w:pPr>
            <w:r>
              <w:rPr>
                <w:rFonts w:ascii="Arial" w:cs="Arial" w:eastAsia="Arial" w:hAnsi="Arial"/>
                <w:sz w:val="18"/>
                <w:szCs w:val="18"/>
                <w:color w:val="auto"/>
                <w:w w:val="88"/>
              </w:rPr>
              <w:t>$0.01 per share</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As of May 14, 2019, the Registrant had 20,482,720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6195"/>
                    </a:xfrm>
                    <a:prstGeom prst="rect">
                      <a:avLst/>
                    </a:prstGeom>
                    <a:noFill/>
                  </pic:spPr>
                </pic:pic>
              </a:graphicData>
            </a:graphic>
          </wp:anchor>
        </w:drawing>
      </w:r>
    </w:p>
    <w:p>
      <w:pPr>
        <w:sectPr>
          <w:pgSz w:w="11900" w:h="16838" w:orient="portrait"/>
          <w:cols w:equalWidth="0" w:num="1">
            <w:col w:w="11420"/>
          </w:cols>
          <w:pgMar w:left="240" w:top="747" w:right="2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0" w:type="dxa"/>
            <w:vAlign w:val="bottom"/>
            <w:gridSpan w:val="7"/>
          </w:tcPr>
          <w:p>
            <w:pPr>
              <w:jc w:val="center"/>
              <w:ind w:right="3740"/>
              <w:spacing w:after="0"/>
              <w:rPr>
                <w:sz w:val="20"/>
                <w:szCs w:val="20"/>
                <w:color w:val="auto"/>
              </w:rPr>
            </w:pPr>
            <w:r>
              <w:rPr>
                <w:rFonts w:ascii="Arial" w:cs="Arial" w:eastAsia="Arial" w:hAnsi="Arial"/>
                <w:sz w:val="18"/>
                <w:szCs w:val="18"/>
                <w:b w:val="1"/>
                <w:bCs w:val="1"/>
                <w:color w:val="auto"/>
              </w:rPr>
              <w:t>CELSION CORPORATION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0" w:type="dxa"/>
            <w:vAlign w:val="bottom"/>
            <w:gridSpan w:val="7"/>
          </w:tcPr>
          <w:p>
            <w:pPr>
              <w:jc w:val="center"/>
              <w:ind w:right="3740"/>
              <w:spacing w:after="0"/>
              <w:rPr>
                <w:sz w:val="20"/>
                <w:szCs w:val="20"/>
                <w:color w:val="auto"/>
              </w:rPr>
            </w:pPr>
            <w:r>
              <w:rPr>
                <w:rFonts w:ascii="Arial" w:cs="Arial" w:eastAsia="Arial" w:hAnsi="Arial"/>
                <w:sz w:val="18"/>
                <w:szCs w:val="18"/>
                <w:b w:val="1"/>
                <w:bCs w:val="1"/>
                <w:color w:val="auto"/>
                <w:w w:val="99"/>
              </w:rPr>
              <w:t>QUARTERLY REPORT ON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40" w:type="dxa"/>
            <w:vAlign w:val="bottom"/>
            <w:gridSpan w:val="3"/>
          </w:tcPr>
          <w:p>
            <w:pPr>
              <w:jc w:val="center"/>
              <w:ind w:right="4400"/>
              <w:spacing w:after="0"/>
              <w:rPr>
                <w:sz w:val="20"/>
                <w:szCs w:val="20"/>
                <w:color w:val="auto"/>
              </w:rPr>
            </w:pPr>
            <w:r>
              <w:rPr>
                <w:rFonts w:ascii="Arial" w:cs="Arial" w:eastAsia="Arial" w:hAnsi="Arial"/>
                <w:sz w:val="18"/>
                <w:szCs w:val="18"/>
                <w:b w:val="1"/>
                <w:bCs w:val="1"/>
                <w:color w:val="auto"/>
                <w:w w:val="99"/>
              </w:rPr>
              <w:t>FORM 10-Q</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0" w:type="dxa"/>
            <w:vAlign w:val="bottom"/>
            <w:gridSpan w:val="7"/>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Page(s)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76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0000EE"/>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1"/>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  </w:t>
            </w:r>
            <w:hyperlink w:anchor="page5">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0" w:type="dxa"/>
            <w:vAlign w:val="bottom"/>
            <w:gridSpan w:val="20"/>
          </w:tcPr>
          <w:p>
            <w:pPr>
              <w:ind w:left="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0" w:type="dxa"/>
            <w:vAlign w:val="bottom"/>
            <w:gridSpan w:val="20"/>
            <w:shd w:val="clear" w:color="auto" w:fill="CCEEFF"/>
          </w:tcPr>
          <w:p>
            <w:pPr>
              <w:ind w:left="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0" w:type="dxa"/>
            <w:vAlign w:val="bottom"/>
            <w:gridSpan w:val="20"/>
          </w:tcPr>
          <w:p>
            <w:pPr>
              <w:ind w:left="8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Comprehensive Loss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0" w:type="dxa"/>
            <w:vAlign w:val="bottom"/>
            <w:gridSpan w:val="20"/>
            <w:shd w:val="clear" w:color="auto" w:fill="CCEEFF"/>
          </w:tcPr>
          <w:p>
            <w:pPr>
              <w:ind w:left="8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0" w:type="dxa"/>
            <w:vAlign w:val="bottom"/>
            <w:gridSpan w:val="20"/>
          </w:tcPr>
          <w:p>
            <w:pPr>
              <w:ind w:left="8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Changes in Stockholders’ Equity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0" w:type="dxa"/>
            <w:vAlign w:val="bottom"/>
            <w:gridSpan w:val="20"/>
            <w:shd w:val="clear" w:color="auto" w:fill="CCEEFF"/>
          </w:tcPr>
          <w:p>
            <w:pPr>
              <w:ind w:left="8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Notes to the Condensed Consolidated Financial Statements</w:t>
              </w:r>
            </w:hyperlink>
          </w:p>
        </w:tc>
        <w:tc>
          <w:tcPr>
            <w:tcW w:w="640" w:type="dxa"/>
            <w:vAlign w:val="bottom"/>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1"/>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30">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1"/>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41">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1"/>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41">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Item 1.</w:t>
            </w:r>
          </w:p>
        </w:tc>
        <w:tc>
          <w:tcPr>
            <w:tcW w:w="10200" w:type="dxa"/>
            <w:vAlign w:val="bottom"/>
            <w:gridSpan w:val="20"/>
            <w:shd w:val="clear" w:color="auto" w:fill="CCEEFF"/>
          </w:tcPr>
          <w:p>
            <w:pPr>
              <w:ind w:left="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1"/>
          </w:tcPr>
          <w:p>
            <w:pPr>
              <w:spacing w:after="0" w:line="176" w:lineRule="exact"/>
              <w:rPr>
                <w:rFonts w:ascii="Arial" w:cs="Arial" w:eastAsia="Arial" w:hAnsi="Arial"/>
                <w:sz w:val="18"/>
                <w:szCs w:val="18"/>
                <w:color w:val="auto"/>
              </w:rPr>
            </w:pPr>
            <w:r>
              <w:rPr>
                <w:rFonts w:ascii="Arial" w:cs="Arial" w:eastAsia="Arial" w:hAnsi="Arial"/>
                <w:sz w:val="18"/>
                <w:szCs w:val="18"/>
                <w:color w:val="auto"/>
              </w:rPr>
              <w:t>Item 1A.</w:t>
            </w:r>
            <w:hyperlink w:anchor="page42">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1"/>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59">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1"/>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59">
              <w:r>
                <w:rPr>
                  <w:rFonts w:ascii="Arial" w:cs="Arial" w:eastAsia="Arial" w:hAnsi="Arial"/>
                  <w:sz w:val="18"/>
                  <w:szCs w:val="18"/>
                  <w:color w:val="0000EE"/>
                </w:rPr>
                <w:t>Defaults Upon Senior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1"/>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59">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tcPr>
          <w:p>
            <w:pPr>
              <w:spacing w:after="0" w:line="176" w:lineRule="exact"/>
              <w:rPr>
                <w:sz w:val="20"/>
                <w:szCs w:val="20"/>
                <w:color w:val="auto"/>
              </w:rPr>
            </w:pPr>
            <w:r>
              <w:rPr>
                <w:rFonts w:ascii="Arial" w:cs="Arial" w:eastAsia="Arial" w:hAnsi="Arial"/>
                <w:sz w:val="18"/>
                <w:szCs w:val="18"/>
                <w:color w:val="auto"/>
                <w:w w:val="98"/>
              </w:rPr>
              <w:t>Item 5.</w:t>
            </w:r>
          </w:p>
        </w:tc>
        <w:tc>
          <w:tcPr>
            <w:tcW w:w="10200" w:type="dxa"/>
            <w:vAlign w:val="bottom"/>
            <w:gridSpan w:val="20"/>
          </w:tcPr>
          <w:p>
            <w:pPr>
              <w:ind w:left="8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Item 6.</w:t>
            </w:r>
          </w:p>
        </w:tc>
        <w:tc>
          <w:tcPr>
            <w:tcW w:w="10200" w:type="dxa"/>
            <w:vAlign w:val="bottom"/>
            <w:gridSpan w:val="20"/>
            <w:shd w:val="clear" w:color="auto" w:fill="CCEEFF"/>
          </w:tcPr>
          <w:p>
            <w:pPr>
              <w:ind w:left="8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740" w:type="dxa"/>
            <w:vAlign w:val="bottom"/>
            <w:tcBorders>
              <w:top w:val="single" w:sz="8" w:color="CCEEFF"/>
              <w:bottom w:val="single" w:sz="8" w:color="auto"/>
            </w:tcBorders>
            <w:gridSpan w:val="3"/>
          </w:tcPr>
          <w:p>
            <w:pPr>
              <w:jc w:val="center"/>
              <w:ind w:right="4400"/>
              <w:spacing w:after="0"/>
              <w:rPr>
                <w:sz w:val="20"/>
                <w:szCs w:val="20"/>
                <w:color w:val="auto"/>
              </w:rPr>
            </w:pPr>
            <w:r>
              <w:rPr>
                <w:rFonts w:ascii="Arial" w:cs="Arial" w:eastAsia="Arial" w:hAnsi="Arial"/>
                <w:sz w:val="18"/>
                <w:szCs w:val="18"/>
                <w:color w:val="auto"/>
              </w:rPr>
              <w:t>i</w:t>
            </w: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Celsion brand and product names, including but not limited to Celsion® and ThermoDox®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360" w:type="dxa"/>
            <w:vAlign w:val="bottom"/>
            <w:gridSpan w:val="3"/>
          </w:tcPr>
          <w:p>
            <w:pPr>
              <w:jc w:val="center"/>
              <w:ind w:left="3990"/>
              <w:spacing w:after="0"/>
              <w:rPr>
                <w:sz w:val="20"/>
                <w:szCs w:val="20"/>
                <w:color w:val="auto"/>
              </w:rPr>
            </w:pPr>
            <w:r>
              <w:rPr>
                <w:rFonts w:ascii="Arial" w:cs="Arial" w:eastAsia="Arial" w:hAnsi="Arial"/>
                <w:sz w:val="18"/>
                <w:szCs w:val="18"/>
                <w:b w:val="1"/>
                <w:bCs w:val="1"/>
                <w:color w:val="auto"/>
              </w:rPr>
              <w:t>PART I: FINANCIAL INFORMATION</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rPr>
              <w:t>CELSION CORPORATION</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w w:val="99"/>
              </w:rPr>
              <w:t>CONDENSED CONSOLIDATED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w w:val="98"/>
              </w:rPr>
              <w:t>BALANCE SHEETS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 2019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r>
      <w:tr>
        <w:trPr>
          <w:trHeight w:val="216"/>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3,575,590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13,353,543</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Investment securities - available for sale, at fair value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20,166,768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14,257,998</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 on investment securities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68,309</w:t>
            </w:r>
          </w:p>
        </w:tc>
      </w:tr>
      <w:tr>
        <w:trPr>
          <w:trHeight w:val="237"/>
        </w:trPr>
        <w:tc>
          <w:tcPr>
            <w:tcW w:w="7060" w:type="dxa"/>
            <w:vAlign w:val="bottom"/>
          </w:tcPr>
          <w:p>
            <w:pPr>
              <w:ind w:left="36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1,040,600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451,293</w:t>
            </w:r>
          </w:p>
        </w:tc>
      </w:tr>
      <w:tr>
        <w:trPr>
          <w:trHeight w:val="223"/>
        </w:trPr>
        <w:tc>
          <w:tcPr>
            <w:tcW w:w="7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24,861,028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28,131,143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(at cost, less accumulated depreciation and amortization of</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$2,998,600 and $2,968,259, respectively)</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299,448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184,627</w:t>
            </w:r>
          </w:p>
        </w:tc>
      </w:tr>
      <w:tr>
        <w:trPr>
          <w:trHeight w:val="216"/>
        </w:trPr>
        <w:tc>
          <w:tcPr>
            <w:tcW w:w="7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In-process research and development, net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15,736,491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15,736,491</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1,976,101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511,463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568,292</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1,695,931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37"/>
        </w:trPr>
        <w:tc>
          <w:tcPr>
            <w:tcW w:w="7060" w:type="dxa"/>
            <w:vAlign w:val="bottom"/>
          </w:tcPr>
          <w:p>
            <w:pPr>
              <w:ind w:left="360"/>
              <w:spacing w:after="0"/>
              <w:rPr>
                <w:sz w:val="20"/>
                <w:szCs w:val="20"/>
                <w:color w:val="auto"/>
              </w:rPr>
            </w:pPr>
            <w:r>
              <w:rPr>
                <w:rFonts w:ascii="Arial" w:cs="Arial" w:eastAsia="Arial" w:hAnsi="Arial"/>
                <w:sz w:val="18"/>
                <w:szCs w:val="18"/>
                <w:color w:val="auto"/>
              </w:rPr>
              <w:t>Deposits and other assets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315,490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258,933</w:t>
            </w:r>
          </w:p>
        </w:tc>
      </w:tr>
      <w:tr>
        <w:trPr>
          <w:trHeight w:val="223"/>
        </w:trPr>
        <w:tc>
          <w:tcPr>
            <w:tcW w:w="7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other assets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20,235,476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18,539,817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45,395,952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46,855,587</w:t>
            </w:r>
          </w:p>
        </w:tc>
      </w:tr>
      <w:tr>
        <w:trPr>
          <w:trHeight w:val="20"/>
        </w:trPr>
        <w:tc>
          <w:tcPr>
            <w:tcW w:w="7100" w:type="dxa"/>
            <w:vAlign w:val="bottom"/>
            <w:tcBorders>
              <w:top w:val="single" w:sz="8" w:color="CCEEFF"/>
            </w:tcBorders>
            <w:gridSpan w:val="2"/>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220" w:type="dxa"/>
            <w:vAlign w:val="bottom"/>
            <w:gridSpan w:val="5"/>
          </w:tcPr>
          <w:p>
            <w:pPr>
              <w:jc w:val="center"/>
              <w:ind w:left="21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060" w:type="dxa"/>
            <w:vAlign w:val="bottom"/>
            <w:tcBorders>
              <w:bottom w:val="single" w:sz="8" w:color="auto"/>
            </w:tcBorders>
          </w:tcPr>
          <w:p>
            <w:pPr>
              <w:jc w:val="center"/>
              <w:ind w:left="4290"/>
              <w:spacing w:after="0"/>
              <w:rPr>
                <w:sz w:val="20"/>
                <w:szCs w:val="20"/>
                <w:color w:val="auto"/>
              </w:rPr>
            </w:pPr>
            <w:r>
              <w:rPr>
                <w:rFonts w:ascii="Arial" w:cs="Arial" w:eastAsia="Arial" w:hAnsi="Arial"/>
                <w:sz w:val="18"/>
                <w:szCs w:val="18"/>
                <w:color w:val="auto"/>
                <w:w w:val="79"/>
              </w:rPr>
              <w:t>1</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rPr>
              <w:t>CELSION CORPORATION</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w w:val="99"/>
              </w:rPr>
              <w:t>CONDENSED CONSOLIDATED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w w:val="98"/>
              </w:rPr>
              <w:t>BALANCE SHEETS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60" w:type="dxa"/>
            <w:vAlign w:val="bottom"/>
          </w:tcPr>
          <w:p>
            <w:pPr>
              <w:jc w:val="center"/>
              <w:ind w:left="4270"/>
              <w:spacing w:after="0"/>
              <w:rPr>
                <w:sz w:val="20"/>
                <w:szCs w:val="20"/>
                <w:color w:val="auto"/>
              </w:rPr>
            </w:pPr>
            <w:r>
              <w:rPr>
                <w:rFonts w:ascii="Arial" w:cs="Arial" w:eastAsia="Arial" w:hAnsi="Arial"/>
                <w:sz w:val="18"/>
                <w:szCs w:val="18"/>
                <w:b w:val="1"/>
                <w:bCs w:val="1"/>
                <w:color w:val="auto"/>
                <w:w w:val="93"/>
              </w:rPr>
              <w:t>(Continued)</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 2019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2018</w:t>
            </w:r>
          </w:p>
        </w:tc>
      </w:tr>
      <w:tr>
        <w:trPr>
          <w:trHeight w:val="216"/>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 trade</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2,585,591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3,020,638</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2,462,965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2,585,898</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 current portion</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344,721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060" w:type="dxa"/>
            <w:vAlign w:val="bottom"/>
          </w:tcPr>
          <w:p>
            <w:pPr>
              <w:ind w:left="360"/>
              <w:spacing w:after="0"/>
              <w:rPr>
                <w:sz w:val="20"/>
                <w:szCs w:val="20"/>
                <w:color w:val="auto"/>
              </w:rPr>
            </w:pPr>
            <w:r>
              <w:rPr>
                <w:rFonts w:ascii="Arial" w:cs="Arial" w:eastAsia="Arial" w:hAnsi="Arial"/>
                <w:sz w:val="18"/>
                <w:szCs w:val="18"/>
                <w:color w:val="auto"/>
              </w:rPr>
              <w:t>Deferred revenue - current portion</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7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5,893,277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6,106,536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Earn-out milestone liability</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5,777,664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8,907,664</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Note Payable, net of deferred financing costs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9,514,495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9,417,037</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 non-current portion</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1,438,914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Deferred revenue - non-current portion</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1,375,000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r>
      <w:tr>
        <w:trPr>
          <w:trHeight w:val="25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 non-current</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63,278</w:t>
            </w:r>
          </w:p>
        </w:tc>
      </w:tr>
      <w:tr>
        <w:trPr>
          <w:trHeight w:val="210"/>
        </w:trPr>
        <w:tc>
          <w:tcPr>
            <w:tcW w:w="70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liabilities</w:t>
            </w:r>
          </w:p>
        </w:tc>
        <w:tc>
          <w:tcPr>
            <w:tcW w:w="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23,999,350</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25,994,515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060" w:type="dxa"/>
            <w:vAlign w:val="bottom"/>
          </w:tcPr>
          <w:p>
            <w:pPr>
              <w:ind w:left="360"/>
              <w:spacing w:after="0" w:line="201" w:lineRule="exact"/>
              <w:rPr>
                <w:sz w:val="20"/>
                <w:szCs w:val="20"/>
                <w:color w:val="auto"/>
              </w:rPr>
            </w:pPr>
            <w:r>
              <w:rPr>
                <w:rFonts w:ascii="Arial" w:cs="Arial" w:eastAsia="Arial" w:hAnsi="Arial"/>
                <w:sz w:val="18"/>
                <w:szCs w:val="18"/>
                <w:color w:val="auto"/>
                <w:w w:val="96"/>
              </w:rPr>
              <w:t>Preferred Stock - $0.01 par value (100,000 shares authorized, and no shares issued or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outstanding at March 31, 2019 and December 31, 2018)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060" w:type="dxa"/>
            <w:vAlign w:val="bottom"/>
          </w:tcPr>
          <w:p>
            <w:pPr>
              <w:ind w:left="360"/>
              <w:spacing w:after="0" w:line="201" w:lineRule="exact"/>
              <w:rPr>
                <w:sz w:val="20"/>
                <w:szCs w:val="20"/>
                <w:color w:val="auto"/>
              </w:rPr>
            </w:pPr>
            <w:r>
              <w:rPr>
                <w:rFonts w:ascii="Arial" w:cs="Arial" w:eastAsia="Arial" w:hAnsi="Arial"/>
                <w:sz w:val="18"/>
                <w:szCs w:val="18"/>
                <w:color w:val="auto"/>
              </w:rPr>
              <w:t>Common stock - $0.01 par value (112,500,000 shares authorized; 19,662,354 and</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w w:val="95"/>
              </w:rPr>
              <w:t>18,832,168 shares issued at March 31, 2019 and December 31, 2018, respectively, and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w w:val="98"/>
              </w:rPr>
              <w:t>19,662,020 and 18,831,834 shares outstanding at March 31, 2019 and December 31,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2018, respectively)</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196,624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188,322</w:t>
            </w: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297,231,041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294,393,313</w:t>
            </w: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Accumulated other comprehensive gain</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86,824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29,872</w:t>
            </w:r>
          </w:p>
        </w:tc>
      </w:tr>
      <w:tr>
        <w:trPr>
          <w:trHeight w:val="25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(276,032,699)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(273,665,247)</w:t>
            </w:r>
          </w:p>
        </w:tc>
      </w:tr>
      <w:tr>
        <w:trPr>
          <w:trHeight w:val="203"/>
        </w:trPr>
        <w:tc>
          <w:tcPr>
            <w:tcW w:w="70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stockholders’ equity before treasury stock</w:t>
            </w: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21,481,790</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20,946,260</w:t>
            </w:r>
          </w:p>
        </w:tc>
        <w:tc>
          <w:tcPr>
            <w:tcW w:w="100" w:type="dxa"/>
            <w:vAlign w:val="bottom"/>
            <w:tcBorders>
              <w:top w:val="single" w:sz="8" w:color="CCEEFF"/>
            </w:tcBorders>
          </w:tcPr>
          <w:p>
            <w:pPr>
              <w:spacing w:after="0"/>
              <w:rPr>
                <w:sz w:val="17"/>
                <w:szCs w:val="17"/>
                <w:color w:val="auto"/>
              </w:rPr>
            </w:pPr>
          </w:p>
        </w:tc>
      </w:tr>
      <w:tr>
        <w:trPr>
          <w:trHeight w:val="216"/>
        </w:trPr>
        <w:tc>
          <w:tcPr>
            <w:tcW w:w="7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060" w:type="dxa"/>
            <w:vAlign w:val="bottom"/>
          </w:tcPr>
          <w:p>
            <w:pPr>
              <w:ind w:left="360"/>
              <w:spacing w:after="0"/>
              <w:rPr>
                <w:sz w:val="20"/>
                <w:szCs w:val="20"/>
                <w:color w:val="auto"/>
              </w:rPr>
            </w:pPr>
            <w:r>
              <w:rPr>
                <w:rFonts w:ascii="Arial" w:cs="Arial" w:eastAsia="Arial" w:hAnsi="Arial"/>
                <w:sz w:val="18"/>
                <w:szCs w:val="18"/>
                <w:color w:val="auto"/>
              </w:rPr>
              <w:t>Treasury stock, at cost (334 shares March 31, 2019 and December 31, 2018)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(85,188)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(85,188)</w:t>
            </w:r>
          </w:p>
        </w:tc>
      </w:tr>
      <w:tr>
        <w:trPr>
          <w:trHeight w:val="223"/>
        </w:trPr>
        <w:tc>
          <w:tcPr>
            <w:tcW w:w="7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21,396,602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20,861,072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45,395,952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46,855,587</w:t>
            </w:r>
          </w:p>
        </w:tc>
      </w:tr>
      <w:tr>
        <w:trPr>
          <w:trHeight w:val="20"/>
        </w:trPr>
        <w:tc>
          <w:tcPr>
            <w:tcW w:w="7100" w:type="dxa"/>
            <w:vAlign w:val="bottom"/>
            <w:tcBorders>
              <w:top w:val="single" w:sz="8" w:color="CCEEFF"/>
            </w:tcBorders>
            <w:gridSpan w:val="2"/>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240" w:type="dxa"/>
            <w:vAlign w:val="bottom"/>
            <w:gridSpan w:val="5"/>
          </w:tcPr>
          <w:p>
            <w:pPr>
              <w:jc w:val="center"/>
              <w:ind w:left="209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060" w:type="dxa"/>
            <w:vAlign w:val="bottom"/>
            <w:tcBorders>
              <w:bottom w:val="single" w:sz="8" w:color="auto"/>
            </w:tcBorders>
          </w:tcPr>
          <w:p>
            <w:pPr>
              <w:jc w:val="center"/>
              <w:ind w:left="4290"/>
              <w:spacing w:after="0"/>
              <w:rPr>
                <w:sz w:val="20"/>
                <w:szCs w:val="20"/>
                <w:color w:val="auto"/>
              </w:rPr>
            </w:pPr>
            <w:r>
              <w:rPr>
                <w:rFonts w:ascii="Arial" w:cs="Arial" w:eastAsia="Arial" w:hAnsi="Arial"/>
                <w:sz w:val="18"/>
                <w:szCs w:val="18"/>
                <w:color w:val="auto"/>
                <w:w w:val="79"/>
              </w:rPr>
              <w:t>2</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CONDENSED CONSOLIDATED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jc w:val="center"/>
              <w:ind w:left="3330"/>
              <w:spacing w:after="0"/>
              <w:rPr>
                <w:sz w:val="20"/>
                <w:szCs w:val="20"/>
                <w:color w:val="auto"/>
              </w:rPr>
            </w:pPr>
            <w:r>
              <w:rPr>
                <w:rFonts w:ascii="Arial" w:cs="Arial" w:eastAsia="Arial" w:hAnsi="Arial"/>
                <w:sz w:val="18"/>
                <w:szCs w:val="18"/>
                <w:b w:val="1"/>
                <w:bCs w:val="1"/>
                <w:color w:val="auto"/>
                <w:w w:val="98"/>
              </w:rPr>
              <w:t>STATEMENTS OF OPERATIONS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7"/>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Technology development and licensing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2,767,659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2,741,076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2,217,864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1,665,028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4,985,523</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4,406,104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(4,860,523)</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(4,281,104)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from change in valuation of earn-out milestone liability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(270,195)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rPr>
              <w:t>Fair value of warrants issued in connection with amendment to modify GEN-1 earn-out milestone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payments</w:t>
            </w:r>
          </w:p>
        </w:tc>
        <w:tc>
          <w:tcPr>
            <w:tcW w:w="3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113,791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(350,747)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b w:val="1"/>
                <w:bCs w:val="1"/>
                <w:color w:val="auto"/>
              </w:rPr>
              <w:t>Total other income (expense), net</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2,493,071</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(195,891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(2,367,452)</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(4,476,995)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Net loss per common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and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160"/>
              <w:spacing w:after="0"/>
              <w:rPr>
                <w:sz w:val="20"/>
                <w:szCs w:val="20"/>
                <w:color w:val="auto"/>
              </w:rPr>
            </w:pPr>
            <w:r>
              <w:rPr>
                <w:rFonts w:ascii="Arial" w:cs="Arial" w:eastAsia="Arial" w:hAnsi="Arial"/>
                <w:sz w:val="18"/>
                <w:szCs w:val="18"/>
                <w:b w:val="1"/>
                <w:bCs w:val="1"/>
                <w:color w:val="auto"/>
              </w:rPr>
              <w:t>Basic and diluted</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19,104,785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17,683,847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CONDENSED CONSOLIDATED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STATEMENTS OF COMPREHENSIVE LOSS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rPr>
              <w:t>Reclassification of realized gain on investment securities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recognized in investment income,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(9,381)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investment securities</w:t>
            </w: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66,333</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on available for sale securities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56,952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(2,367,452)</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(4,476,995)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(2,310,500)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(4,500,245)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680" w:type="dxa"/>
            <w:vAlign w:val="bottom"/>
            <w:gridSpan w:val="4"/>
          </w:tcPr>
          <w:p>
            <w:pPr>
              <w:jc w:val="center"/>
              <w:ind w:left="16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980" w:type="dxa"/>
            <w:vAlign w:val="bottom"/>
            <w:tcBorders>
              <w:bottom w:val="single" w:sz="8" w:color="auto"/>
            </w:tcBorders>
          </w:tcPr>
          <w:p>
            <w:pPr>
              <w:jc w:val="center"/>
              <w:ind w:left="3330"/>
              <w:spacing w:after="0"/>
              <w:rPr>
                <w:sz w:val="20"/>
                <w:szCs w:val="20"/>
                <w:color w:val="auto"/>
              </w:rPr>
            </w:pPr>
            <w:r>
              <w:rPr>
                <w:rFonts w:ascii="Arial" w:cs="Arial" w:eastAsia="Arial" w:hAnsi="Arial"/>
                <w:sz w:val="18"/>
                <w:szCs w:val="18"/>
                <w:color w:val="auto"/>
                <w:w w:val="79"/>
              </w:rPr>
              <w:t>4</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CONDENSED CONSOLIDATED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8"/>
              </w:rPr>
              <w:t>STATEMENTS OF CASH FLOWS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94"/>
              </w:rPr>
              <w:t>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(2,367,452)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(4,476,995)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Non-cash items included in net loss: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188,806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87,171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earn-out milestone liability</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(3,130,000)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270,195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7"/>
              </w:rPr>
              <w:t>Fair value of warrants issued in connection with amendment to modify the GEN-1 earn-out milestone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payments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Recognition of deferred revenue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Stock-based compensation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691,145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in exchange for services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Amortization of deferred finance charges and debt discount associated with notes payable</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97,458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deferred rent liability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changes in: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on investment securities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(9,761)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Advances, deposits and other current assets</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(645,864)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(635,190)</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(565,945)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ind w:left="52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(5,535,858</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(4,655,296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investment securities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(11,251,818)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(145,162)</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ind w:left="520"/>
              <w:spacing w:after="0" w:line="203" w:lineRule="exact"/>
              <w:rPr>
                <w:sz w:val="20"/>
                <w:szCs w:val="20"/>
                <w:color w:val="auto"/>
              </w:rPr>
            </w:pPr>
            <w:r>
              <w:rPr>
                <w:rFonts w:ascii="Arial" w:cs="Arial" w:eastAsia="Arial" w:hAnsi="Arial"/>
                <w:sz w:val="18"/>
                <w:szCs w:val="18"/>
                <w:b w:val="1"/>
                <w:bCs w:val="1"/>
                <w:color w:val="auto"/>
              </w:rPr>
              <w:t>Net cash (used in) provided by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(5,996,980</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(5,740,029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common stock equity, net of issuance costs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1,754,885</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1,236,584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ind w:left="52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1,754,885</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1,236,584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661" w:right="239" w:bottom="1440" w:gutter="0" w:footer="0" w:header="0"/>
        </w:sectPr>
      </w:pPr>
    </w:p>
    <w:p>
      <w:pPr>
        <w:spacing w:after="0"/>
        <w:rPr>
          <w:sz w:val="20"/>
          <w:szCs w:val="20"/>
          <w:color w:val="auto"/>
        </w:rPr>
      </w:pPr>
      <w:r>
        <w:rPr>
          <w:rFonts w:ascii="Arial" w:cs="Arial" w:eastAsia="Arial" w:hAnsi="Arial"/>
          <w:sz w:val="16"/>
          <w:szCs w:val="16"/>
          <w:b w:val="1"/>
          <w:bCs w:val="1"/>
          <w:color w:val="auto"/>
        </w:rPr>
        <w:t>Decrease increase in cash and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(9,777,953)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(9,158,741)</w:t>
            </w:r>
          </w:p>
        </w:tc>
      </w:tr>
      <w:tr>
        <w:trPr>
          <w:trHeight w:val="237"/>
        </w:trPr>
        <w:tc>
          <w:tcPr>
            <w:tcW w:w="40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13,353,543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11,444,055</w:t>
            </w:r>
          </w:p>
        </w:tc>
      </w:tr>
      <w:tr>
        <w:trPr>
          <w:trHeight w:val="230"/>
        </w:trPr>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3,575,590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2,285,314</w:t>
            </w:r>
          </w:p>
        </w:tc>
        <w:tc>
          <w:tcPr>
            <w:tcW w:w="60" w:type="dxa"/>
            <w:vAlign w:val="bottom"/>
          </w:tcPr>
          <w:p>
            <w:pPr>
              <w:spacing w:after="0"/>
              <w:rPr>
                <w:sz w:val="19"/>
                <w:szCs w:val="19"/>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280" w:space="720"/>
            <w:col w:w="3420"/>
          </w:cols>
          <w:pgMar w:left="240" w:top="661"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253,289</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7"/>
              </w:rPr>
              <w:t>Fair value of warrants issued in connection with amendment to modify the GEN-1 earn-out milestone</w:t>
            </w: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payments</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tcPr>
          <w:p>
            <w:pPr>
              <w:spacing w:after="0"/>
              <w:rPr>
                <w:sz w:val="24"/>
                <w:szCs w:val="24"/>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Realized and unrealized gains and losses, net, on investment securities</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56,952</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740" w:type="dxa"/>
            <w:vAlign w:val="bottom"/>
            <w:gridSpan w:val="2"/>
          </w:tcPr>
          <w:p>
            <w:pPr>
              <w:ind w:left="2780"/>
              <w:spacing w:after="0"/>
              <w:rPr>
                <w:sz w:val="20"/>
                <w:szCs w:val="20"/>
                <w:color w:val="auto"/>
              </w:rPr>
            </w:pPr>
            <w:r>
              <w:rPr>
                <w:rFonts w:ascii="Arial" w:cs="Arial" w:eastAsia="Arial" w:hAnsi="Arial"/>
                <w:sz w:val="18"/>
                <w:szCs w:val="18"/>
                <w:b w:val="1"/>
                <w:bCs w:val="1"/>
                <w:color w:val="auto"/>
                <w:w w:val="88"/>
              </w:rPr>
              <w:t>See accompanying notes to the condensed consolidated financial statements</w:t>
            </w:r>
            <w:r>
              <w:rPr>
                <w:rFonts w:ascii="Arial" w:cs="Arial" w:eastAsia="Arial" w:hAnsi="Arial"/>
                <w:sz w:val="18"/>
                <w:szCs w:val="18"/>
                <w:color w:val="auto"/>
                <w:w w:val="88"/>
              </w:rPr>
              <w:t>.</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98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5</w:t>
            </w: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80" w:type="dxa"/>
            <w:vAlign w:val="bottom"/>
            <w:gridSpan w:val="11"/>
          </w:tcPr>
          <w:p>
            <w:pPr>
              <w:jc w:val="right"/>
              <w:ind w:right="500"/>
              <w:spacing w:after="0"/>
              <w:rPr>
                <w:sz w:val="20"/>
                <w:szCs w:val="20"/>
                <w:color w:val="auto"/>
              </w:rPr>
            </w:pPr>
            <w:r>
              <w:rPr>
                <w:rFonts w:ascii="Arial" w:cs="Arial" w:eastAsia="Arial" w:hAnsi="Arial"/>
                <w:sz w:val="18"/>
                <w:szCs w:val="18"/>
                <w:b w:val="1"/>
                <w:bCs w:val="1"/>
                <w:color w:val="auto"/>
              </w:rPr>
              <w:t>THREE MONTHS ENDED MARCH 31, 2019</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Accum.</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0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Outstanding</w:t>
            </w:r>
          </w:p>
        </w:tc>
        <w:tc>
          <w:tcPr>
            <w:tcW w:w="140" w:type="dxa"/>
            <w:vAlign w:val="bottom"/>
          </w:tcPr>
          <w:p>
            <w:pPr>
              <w:spacing w:after="0"/>
              <w:rPr>
                <w:sz w:val="22"/>
                <w:szCs w:val="2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Paid in</w:t>
            </w:r>
          </w:p>
        </w:tc>
        <w:tc>
          <w:tcPr>
            <w:tcW w:w="18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Treasury Stock</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Compr.</w:t>
            </w: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Accumulated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Capital</w:t>
            </w:r>
          </w:p>
        </w:tc>
        <w:tc>
          <w:tcPr>
            <w:tcW w:w="8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28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10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18,831,834</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$ 188,322</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$ 294,393,313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(85,188)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$ 29,872</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(273,665,247)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$20,861,072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(2,367,452)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(2,367,452)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equity</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822,186</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8,222</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1,746,663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1,754,885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Common stock warrants issued in</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connection with amendment to</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modify GEN-1 earn-out milestone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400,000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Realized and unrealized gains and</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losses, net, on investments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3"/>
              </w:rPr>
              <w:t>Stock-based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691,145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691,145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at March 31, 2019</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19,662,020</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$ 196,624</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297,231,041</w:t>
            </w: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(85,188</w:t>
            </w:r>
          </w:p>
        </w:tc>
        <w:tc>
          <w:tcPr>
            <w:tcW w:w="280" w:type="dxa"/>
            <w:vAlign w:val="bottom"/>
            <w:tcBorders>
              <w:top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$ 86,824</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(276,032,699</w:t>
            </w:r>
          </w:p>
        </w:tc>
        <w:tc>
          <w:tcPr>
            <w:tcW w:w="300" w:type="dxa"/>
            <w:vAlign w:val="bottom"/>
            <w:tcBorders>
              <w:top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21,396,602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60" w:type="dxa"/>
            <w:vAlign w:val="bottom"/>
            <w:gridSpan w:val="10"/>
          </w:tcPr>
          <w:p>
            <w:pPr>
              <w:jc w:val="right"/>
              <w:ind w:right="380"/>
              <w:spacing w:after="0"/>
              <w:rPr>
                <w:sz w:val="20"/>
                <w:szCs w:val="20"/>
                <w:color w:val="auto"/>
              </w:rPr>
            </w:pPr>
            <w:r>
              <w:rPr>
                <w:rFonts w:ascii="Arial" w:cs="Arial" w:eastAsia="Arial" w:hAnsi="Arial"/>
                <w:sz w:val="18"/>
                <w:szCs w:val="18"/>
                <w:b w:val="1"/>
                <w:bCs w:val="1"/>
                <w:color w:val="auto"/>
              </w:rPr>
              <w:t>THREE MONTHS ENDED MARCH 31, 2018</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Accum.</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0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Outstanding</w:t>
            </w:r>
          </w:p>
        </w:tc>
        <w:tc>
          <w:tcPr>
            <w:tcW w:w="140" w:type="dxa"/>
            <w:vAlign w:val="bottom"/>
          </w:tcPr>
          <w:p>
            <w:pPr>
              <w:spacing w:after="0"/>
              <w:rPr>
                <w:sz w:val="22"/>
                <w:szCs w:val="2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Paid in</w:t>
            </w:r>
          </w:p>
        </w:tc>
        <w:tc>
          <w:tcPr>
            <w:tcW w:w="17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Treasury Stock</w:t>
            </w:r>
          </w:p>
        </w:tc>
        <w:tc>
          <w:tcPr>
            <w:tcW w:w="120" w:type="dxa"/>
            <w:vAlign w:val="bottom"/>
          </w:tcPr>
          <w:p>
            <w:pPr>
              <w:spacing w:after="0"/>
              <w:rPr>
                <w:sz w:val="22"/>
                <w:szCs w:val="2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Compr.</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Capital</w:t>
            </w:r>
          </w:p>
        </w:tc>
        <w:tc>
          <w:tcPr>
            <w:tcW w:w="92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3"/>
              </w:rPr>
              <w:t>Shares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Income</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17,276,965</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$ 172,772</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$ 288,408,976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(85,188)</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 (10,164)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(261,781,888)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$26,704,508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(4,476,995)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(4,476,995)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ATM</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457,070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4,571</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1,232,013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w w:val="98"/>
              </w:rPr>
              <w:t>Realized and unrealized gains and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losses, net, on investments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(23,250)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153,668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6,000</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60</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15,780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15,840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17,740,035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$ 177,403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289,810,437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(85,188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(33,414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(266,258,883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23,610,355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Celsion Corporation (“Celsion” and the “Company”) is a fully-integrated development stage oncology drug company focused on advancing a portfolio of innovative cancer treatments, including directed chemotherapies, DNA-mediated immunotherapy and RNA based therapies. Our lead product candidate is</w:t>
      </w:r>
    </w:p>
    <w:p>
      <w:pPr>
        <w:jc w:val="both"/>
        <w:spacing w:after="0" w:line="267" w:lineRule="auto"/>
        <w:rPr>
          <w:sz w:val="20"/>
          <w:szCs w:val="20"/>
          <w:color w:val="auto"/>
        </w:rPr>
      </w:pPr>
      <w:r>
        <w:rPr>
          <w:rFonts w:ascii="Arial" w:cs="Arial" w:eastAsia="Arial" w:hAnsi="Arial"/>
          <w:sz w:val="16"/>
          <w:szCs w:val="16"/>
          <w:color w:val="auto"/>
        </w:rPr>
        <w:t>ThermoDox</w:t>
      </w:r>
      <w:r>
        <w:rPr>
          <w:rFonts w:ascii="Arial" w:cs="Arial" w:eastAsia="Arial" w:hAnsi="Arial"/>
          <w:sz w:val="26"/>
          <w:szCs w:val="26"/>
          <w:color w:val="auto"/>
          <w:vertAlign w:val="superscript"/>
        </w:rPr>
        <w:t>®</w:t>
      </w:r>
      <w:r>
        <w:rPr>
          <w:rFonts w:ascii="Arial" w:cs="Arial" w:eastAsia="Arial" w:hAnsi="Arial"/>
          <w:sz w:val="16"/>
          <w:szCs w:val="16"/>
          <w:color w:val="auto"/>
        </w:rPr>
        <w:t>, a proprietary heat-activated liposomal encapsulation of doxorubicin, currently in a Phase III clinical trial for the treatment of primary liver cancer (the “OPTIMA Study”). Second in our pipeline is GEN-1, a DNA-mediated immunotherapy for the localized treatment of ovarian cancer. We have two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and TheraPlas, a novel nucleic acid-based treatment for local transfection of therapeutic plasmids. With these technologies we are working to develop and commercialize more efficient, effective and targeted oncology therapies that maximize efficacy while minimizing side-effects common to cancer treatments.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Celsion Corporation and its wholly owned subsidiary CLSN Laboratories, Inc, have been prepared in accordance with generally accepted accounting principles in the United States (GAAP) for interim financial information and with the instructions to Form 10-Q and Article 10 of Regulation S-X. All intercompany balances and transactions have been eliminated in consolidation. Certain information and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three-month period ended March 31, 2019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2018 filed with the Securities and Exchange Commission (SEC) on March 29, 2019.</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Condition and Business Plan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We have not generated significant revenue and have incurred significant net losses in each year since our inception. We have incurred approximately $276 million of cumulative net losses. As of March 31, 2019, we had approximately $23.8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920" w:hanging="65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920" w:hanging="65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920" w:hanging="65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920" w:hanging="655"/>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progress of the development efforts of parties with whom the Company has entered into research and development agreements;</w:t>
      </w:r>
    </w:p>
    <w:p>
      <w:pPr>
        <w:spacing w:after="0" w:line="236" w:lineRule="exact"/>
        <w:rPr>
          <w:rFonts w:ascii="Arial" w:cs="Arial" w:eastAsia="Arial" w:hAnsi="Arial"/>
          <w:sz w:val="17"/>
          <w:szCs w:val="17"/>
          <w:color w:val="auto"/>
        </w:rPr>
      </w:pPr>
    </w:p>
    <w:p>
      <w:pPr>
        <w:ind w:left="920" w:hanging="65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920" w:hanging="655"/>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920" w:hanging="65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920" w:hanging="65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920" w:hanging="65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Annually, the State of New Jersey enables approved technology and biotechnology businesses with New Jersey net operating tax losses the opportunity to sell these losses through the Technology Business Tax Certificate Program (the “NOL Program”), thereby providing cash to companies to help fund their operations. The Company determined it met the eligibility requirements of the NOL Program for 2018 and filed its application with the New Jersey Economic Development Authority (NJEDA) in June 2018. In this application, the Company requested authorization of up to $12.5 million in tax benefits from its cumulative New Jersey net operating losses to be eligible for sale. In September 2018, the NJEDA notified the Company that its application received approval under the NOL Program for 2018, and after receiving approval from the NJEDA to transfer $11.1 million of tax benefits in December 2018, the Company successfully transferred these approved tax benefits which resulted in receipt of $10.4 million in net cash proceeds to the Company at the end of 2018. The Company has approximately $3.9 million in future tax benefits remaining under the NOL Program for future years and it expects to file an application under the NOL Program in June 2019.</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$23.8 million in cash, investment securities and interest receivable at March 31, 2019 coupled with future sales of the Company’s New Jersey NOL’s, the Company believes it has sufficient capital resources to fund its operations into the fourth quarter of 2020. The Company will be required to obtain additional funding to continue development of its current product candidates within the anticipated time periods, if at all, and to continue to fund operations. As more fully discussed in Note 11, the Company has approximately $28.6 million available collectively for future sale of equity securities under a common stock purchase agreement with Aspire Capital Fund, LLC and a common stock sales agreement with JonesTrading Institutional Services LLC as of March 31, 2019.</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 Topic 842 (ASC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became effective for fiscal years beginning after December 15, 2018, including interim reporting periods within that reporting period. The FASB subsequently issued the following amendments to ASC Topic 842, which have the same effective date and transition date of January 1, 2019:</w:t>
      </w:r>
    </w:p>
    <w:p>
      <w:pPr>
        <w:spacing w:after="0" w:line="178"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amends certain narrow aspects of the guidance issued in ASU 2016-02;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ASU No.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adopted Topic ASC 842 effective January 1, 2019 and elected to apply the available practical expedients and implement internal controls to enable the preparation of financial information on adoption. We identified two of our leases consisting of the New Jersey corporate office lease and the Alabama lab facility lease as being subject to Topic ASC 842. The adoption of this standard resulted in the recognition of right-of-use assets of approximately $1.4 million, related operating lease liabilities of $1.5 million and reduced other liabilities by approximately $0.1 million on the consolidated balance sheets as of January 1, 2019 with no material impact to the opening balance of retained earnings. See Note 15 for further discussions regarding the adoption of ASC Topic 842.</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SEC issued a final rule to simplify certain disclosure requirements. In addition, the amendments expanded the disclosure requirements on the analysis of stockholders’ equity for interim financial statements. In August and September 2018, further amendments were issued to provide implementation guidance on adoption of the SEC rule and transition guidance for the new interim stockholders’ equity disclosure. We adopted this amended guidance in the first quarter of 2019. The adoption of this amended guidance resulted in us disclosing the Condensed Consolidated Statements of Changes in Stockholders’ Equity for the three months ending March 31, 2019 and 2018.</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Accounting Standard Update No.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This guidance is effective for annual reporting periods beginning after December 15, 2018, and interim periods within those years, with early adoption permitted. The adoption of ASU 2017-01 did not have an impact on our financial statement or disclosures.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FASB issued Accounting Standard Update No. 2017-04, “Intangibles-Goodwill and Other, Simplifying the Test for Goodwill Impairment,” which eliminated Step </w:t>
      </w:r>
      <w:r>
        <w:rPr>
          <w:rFonts w:ascii="Arial" w:cs="Arial" w:eastAsia="Arial" w:hAnsi="Arial"/>
          <w:sz w:val="17"/>
          <w:szCs w:val="17"/>
          <w:i w:val="1"/>
          <w:iCs w:val="1"/>
          <w:color w:val="auto"/>
        </w:rPr>
        <w:t>2</w:t>
      </w:r>
      <w:r>
        <w:rPr>
          <w:rFonts w:ascii="Arial" w:cs="Arial" w:eastAsia="Arial" w:hAnsi="Arial"/>
          <w:sz w:val="17"/>
          <w:szCs w:val="17"/>
          <w:color w:val="auto"/>
        </w:rPr>
        <w:t xml:space="preserve"> from the goodwill impairment test. Under the revised test,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w:t>
      </w:r>
      <w:r>
        <w:rPr>
          <w:rFonts w:ascii="Arial" w:cs="Arial" w:eastAsia="Arial" w:hAnsi="Arial"/>
          <w:sz w:val="17"/>
          <w:szCs w:val="17"/>
          <w:i w:val="1"/>
          <w:iCs w:val="1"/>
          <w:color w:val="auto"/>
        </w:rPr>
        <w:t>not</w:t>
      </w:r>
      <w:r>
        <w:rPr>
          <w:rFonts w:ascii="Arial" w:cs="Arial" w:eastAsia="Arial" w:hAnsi="Arial"/>
          <w:sz w:val="17"/>
          <w:szCs w:val="17"/>
          <w:color w:val="auto"/>
        </w:rPr>
        <w:t xml:space="preserve"> exceed the total amount of goodwill allocated to that reporting unit. This ASU is effective for any interim or annual impairment tests for fiscal years beginning after December 15, 2019, with early adoption permitted. The Company adopted this method for its impairment testing of goodwill during 2017 and 2018. Based on the Company’s evaluation, the adoption of the ASU 2017-04 did not have any material impact on its consolidated financial statements or its disclosures.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total number of shares of common stock issuable upon exercise of warrants, stock option grants and equity awards were 5,412,554 shares for the three-month period ended March 31, 2019. Warrants with an exercise price of $0.01 (as more fully described in Note 13 of these financial statements) exercisable for 200,000 shares of common stock was considered issued in calculating basic loss per share. For the three-month period ended March 31, 2019, diluted loss per common share was the same as basic loss per common share as the other 5,212,554 warrants and equity awards that were convertible into shares of the Company’s common stock were excluded from the calculation of diluted loss per common share as their effect would have been anti-dilutive.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shares of common stock issuable upon exercise of warrants and equity awards was 3,655,643 shares for the three-month period ended March 31, 2018. For the three month period ended March 31, 2018, diluted loss per common share was the same as basic loss per common share as all options and all warrants that were exercisable into shares of the Company’s common stock were excluded from the calculation of diluted earnings attributable to common shareholders per common share as their effect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pay any dividends during the three-month periods ended March 31,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Short-term investments available for sale were approximately $20.2 million and $14.3 million as of March 31, 2019 and December 31, 2018, respectively, consist of corporate debt securities. These investments are valued at estimated fair value, with unrealized gains and losses reported as a separate component of stockholders’ equity in accumulated other comprehensive loss.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6"/>
          </w:tcPr>
          <w:p>
            <w:pPr>
              <w:ind w:left="620"/>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ind w:left="420"/>
              <w:spacing w:after="0"/>
              <w:rPr>
                <w:sz w:val="20"/>
                <w:szCs w:val="20"/>
                <w:color w:val="auto"/>
              </w:rPr>
            </w:pPr>
            <w:r>
              <w:rPr>
                <w:rFonts w:ascii="Arial" w:cs="Arial" w:eastAsia="Arial" w:hAnsi="Arial"/>
                <w:sz w:val="18"/>
                <w:szCs w:val="18"/>
                <w:b w:val="1"/>
                <w:bCs w:val="1"/>
                <w:color w:val="auto"/>
              </w:rPr>
              <w:t>December 31, 2018</w:t>
            </w:r>
          </w:p>
        </w:tc>
      </w:tr>
      <w:tr>
        <w:trPr>
          <w:trHeight w:val="237"/>
        </w:trPr>
        <w:tc>
          <w:tcPr>
            <w:tcW w:w="5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20,079,944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20,166,768</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14,228,126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14,257,998</w:t>
            </w:r>
          </w:p>
        </w:tc>
      </w:tr>
      <w:tr>
        <w:trPr>
          <w:trHeight w:val="230"/>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20,079,944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20,166,768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14,228,126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14,257,998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ind w:left="580"/>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7"/>
          </w:tcPr>
          <w:p>
            <w:pPr>
              <w:ind w:left="420"/>
              <w:spacing w:after="0"/>
              <w:rPr>
                <w:sz w:val="20"/>
                <w:szCs w:val="20"/>
                <w:color w:val="auto"/>
              </w:rPr>
            </w:pPr>
            <w:r>
              <w:rPr>
                <w:rFonts w:ascii="Arial" w:cs="Arial" w:eastAsia="Arial" w:hAnsi="Arial"/>
                <w:sz w:val="18"/>
                <w:szCs w:val="18"/>
                <w:b w:val="1"/>
                <w:bCs w:val="1"/>
                <w:color w:val="auto"/>
              </w:rPr>
              <w:t>December 31, 2018</w:t>
            </w: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76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gridSpan w:val="2"/>
          </w:tcPr>
          <w:p>
            <w:pPr>
              <w:spacing w:after="0"/>
              <w:rPr>
                <w:sz w:val="20"/>
                <w:szCs w:val="20"/>
                <w:color w:val="auto"/>
              </w:rPr>
            </w:pP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Within 3 months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6,452,955</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6,489,330</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5,383,488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5,393,743</w:t>
            </w:r>
          </w:p>
        </w:tc>
        <w:tc>
          <w:tcPr>
            <w:tcW w:w="80" w:type="dxa"/>
            <w:vAlign w:val="bottom"/>
          </w:tcPr>
          <w:p>
            <w:pPr>
              <w:spacing w:after="0"/>
              <w:rPr>
                <w:sz w:val="18"/>
                <w:szCs w:val="18"/>
                <w:color w:val="auto"/>
              </w:rPr>
            </w:pPr>
          </w:p>
        </w:tc>
      </w:tr>
      <w:tr>
        <w:trPr>
          <w:trHeight w:val="25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13,626,989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13,677,438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8,844,638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8,864,255</w:t>
            </w:r>
          </w:p>
        </w:tc>
        <w:tc>
          <w:tcPr>
            <w:tcW w:w="80" w:type="dxa"/>
            <w:vAlign w:val="bottom"/>
            <w:shd w:val="clear" w:color="auto" w:fill="CCEEFF"/>
          </w:tcPr>
          <w:p>
            <w:pPr>
              <w:spacing w:after="0"/>
              <w:rPr>
                <w:sz w:val="21"/>
                <w:szCs w:val="21"/>
                <w:color w:val="auto"/>
              </w:rPr>
            </w:pPr>
          </w:p>
        </w:tc>
      </w:tr>
      <w:tr>
        <w:trPr>
          <w:trHeight w:val="217"/>
        </w:trPr>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20,079,944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20,166,768</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14,228,126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14,257,998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the Company’s investment securities gross unrealized gains (losses) and fair value by investment category and length of time that individual securities have been in a continuous unrealized loss position at March 31, 2019 and December 31, 2018. The Company has reviewed individual securities to determine whether a decline in fair value below the amortizable cost basis is other than temporary.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rPr>
              <w:t>March 31, 2019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Holding</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w w:val="95"/>
              </w:rPr>
              <w:t xml:space="preserve">Available for sale securities </w:t>
            </w:r>
            <w:r>
              <w:rPr>
                <w:rFonts w:ascii="Arial" w:cs="Arial" w:eastAsia="Arial" w:hAnsi="Arial"/>
                <w:sz w:val="18"/>
                <w:szCs w:val="18"/>
                <w:color w:val="auto"/>
                <w:w w:val="95"/>
              </w:rPr>
              <w:t>(all unrealized holding gains and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Gains</w:t>
            </w:r>
          </w:p>
        </w:tc>
        <w:tc>
          <w:tcPr>
            <w:tcW w:w="0" w:type="dxa"/>
            <w:vAlign w:val="bottom"/>
          </w:tcPr>
          <w:p>
            <w:pPr>
              <w:spacing w:after="0"/>
              <w:rPr>
                <w:sz w:val="1"/>
                <w:szCs w:val="1"/>
                <w:color w:val="auto"/>
              </w:rPr>
            </w:pPr>
          </w:p>
        </w:tc>
      </w:tr>
      <w:tr>
        <w:trPr>
          <w:trHeight w:val="241"/>
        </w:trPr>
        <w:tc>
          <w:tcPr>
            <w:tcW w:w="4820" w:type="dxa"/>
            <w:vAlign w:val="bottom"/>
            <w:gridSpan w:val="3"/>
          </w:tcPr>
          <w:p>
            <w:pPr>
              <w:spacing w:after="0"/>
              <w:rPr>
                <w:sz w:val="20"/>
                <w:szCs w:val="20"/>
                <w:color w:val="auto"/>
              </w:rPr>
            </w:pPr>
            <w:r>
              <w:rPr>
                <w:rFonts w:ascii="Arial" w:cs="Arial" w:eastAsia="Arial" w:hAnsi="Arial"/>
                <w:sz w:val="18"/>
                <w:szCs w:val="18"/>
                <w:color w:val="auto"/>
              </w:rPr>
              <w:t>losses are less than 12 months at date of measurement)</w:t>
            </w: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(Losses)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with unrealized gains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17,855,744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87,311</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7,515,676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Investments with unrealized losses</w:t>
            </w:r>
          </w:p>
        </w:tc>
        <w:tc>
          <w:tcPr>
            <w:tcW w:w="18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2,311,024</w:t>
            </w: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6,742,322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20,166,768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14,257,998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66"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1"/>
                <w:szCs w:val="2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69,289</w:t>
            </w:r>
          </w:p>
        </w:tc>
        <w:tc>
          <w:tcPr>
            <w:tcW w:w="100" w:type="dxa"/>
            <w:vAlign w:val="bottom"/>
            <w:shd w:val="clear" w:color="auto" w:fill="CCEEFF"/>
          </w:tcPr>
          <w:p>
            <w:pPr>
              <w:spacing w:after="0"/>
              <w:rPr>
                <w:sz w:val="18"/>
                <w:szCs w:val="18"/>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Realized gains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9,381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4,435</w:t>
            </w:r>
          </w:p>
        </w:tc>
      </w:tr>
      <w:tr>
        <w:trPr>
          <w:trHeight w:val="23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113,791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“Fair Value Measurements and Disclosures,”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1"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and cash equivalents, other current assets, accounts payable and other accrued liabilities are reflected in the condensed consolidated balance sheet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2019 and 2018. There were no transfers of assets or liabilities between Level 1 and Level 2 and no transfers in or out of Level 3 thus far in 2019 and during the year ended December 31, 2018.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13 for significant unobservable inputs). The in-process R&amp;D – GBM is valued using a multi-period excess earnings method (see note 8 for significant unobservable inputs).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Assets and liabilities measured at fair value are summarized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Quoted Prices in</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Active Markets for</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Identical</w:t>
            </w:r>
          </w:p>
        </w:tc>
        <w:tc>
          <w:tcPr>
            <w:tcW w:w="14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Significant Other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Assets/Liabilities</w:t>
            </w:r>
          </w:p>
        </w:tc>
        <w:tc>
          <w:tcPr>
            <w:tcW w:w="140" w:type="dxa"/>
            <w:vAlign w:val="bottom"/>
          </w:tcPr>
          <w:p>
            <w:pPr>
              <w:spacing w:after="0"/>
              <w:rPr>
                <w:sz w:val="17"/>
                <w:szCs w:val="17"/>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Observable Inputs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Unobservable Inputs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Total Fair Value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(Level 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Recurring items as of March 31, 2019</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tcPr>
          <w:p>
            <w:pPr>
              <w:ind w:left="160"/>
              <w:spacing w:after="0"/>
              <w:rPr>
                <w:sz w:val="20"/>
                <w:szCs w:val="20"/>
                <w:color w:val="auto"/>
              </w:rPr>
            </w:pPr>
            <w:r>
              <w:rPr>
                <w:rFonts w:ascii="Arial" w:cs="Arial" w:eastAsia="Arial" w:hAnsi="Arial"/>
                <w:sz w:val="16"/>
                <w:szCs w:val="16"/>
                <w:color w:val="auto"/>
              </w:rPr>
              <w:t>Corporate debt securities, available for sale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20,166,678</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20,166,678</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8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Recurring items as of December 31, 2018</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debt securities, available for sale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14,257,998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14,257,998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Recurring items as of March 31, 2019</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tcPr>
          <w:p>
            <w:pPr>
              <w:ind w:left="160"/>
              <w:spacing w:after="0"/>
              <w:rPr>
                <w:sz w:val="20"/>
                <w:szCs w:val="20"/>
                <w:color w:val="auto"/>
              </w:rPr>
            </w:pPr>
            <w:r>
              <w:rPr>
                <w:rFonts w:ascii="Arial" w:cs="Arial" w:eastAsia="Arial" w:hAnsi="Arial"/>
                <w:sz w:val="16"/>
                <w:szCs w:val="16"/>
                <w:color w:val="auto"/>
              </w:rPr>
              <w:t>Earn-out milestone liability (Note 13)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5,777,664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5,777,664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8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Recurring items as of December 31, 2018</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Earn-out milestone liability (Note 13)</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8,907,664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8,907,664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 of EGEN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2014, we completed the acquisition of substantially all of the assets of EGEN,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time of the acquisition, the total purchase price for the asset acquisition was up to $44.4 million, including potential future earnout payments of up to $30.4 million contingent upon achievement of certain earnout milestones set forth in the Asset Purchase Agreement. We paid approximately $3.0 million in cash after the expense adjustment and issued 241,590 shares of our common stock to EGEN. The shares of common stock were issued in a private transaction exempt from registration under the Securities Act, pursuant to Section 4 (2) thereof.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On December 31, 2016, the Company determined one of its IPR&amp;D assets related to its RNA delivery system was impaired and wrote off its fair value, incurring a non-cash charge of $1.4 million during 2016. During its annual assessments on September 30, 2017 and 2018, the Company determined its IPR&amp;D asset related to its glioblastoma multiforme cancer (GBM) product candidate, originally fair valued at $9.4 million on the date of acquisition, was impaired and wrote this asset’s carrying value down to $2.4 million collectively after those two assessments, incurring non-cash charges of $2.5 million and $4.5 million during 2017 and 2018, respectively. On September 30, 2018 and 2017, the Company evaluated its IPR&amp;D of the ovarian cancer indication and concluded that it is not more likely than not that the asset is impaired. As no other indicators of impairment existed during the fourth quarter of 2018 and thus far in 2019, the Company concluded none of the other IPR&amp;D assets were impaired at December 31, 2018 and March 31, 2019. The carrying amount of the ovarian cancer indication was $13.3 million at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asset acquisition, has a definitive life and is amortized on a straight-line basis over its life of 7 years. The Company recognized amortization expense of $56,829 in each of the three-month periods ended March 31, 2019 and 2018. The carrying value of the Covenant Not to Compete was $511,463, net of $1,079,751, as of March 31, 2019 and $568,292, net of $1,022,922 accumulated amortization, as of December 31,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Following is a schedule of future amortization amounts during the remaining life of the Covenant Not to Compete.</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9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9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3"/>
              </w:rPr>
              <w:t>March 31,</w:t>
            </w:r>
          </w:p>
        </w:tc>
      </w:tr>
      <w:tr>
        <w:trPr>
          <w:trHeight w:val="216"/>
        </w:trPr>
        <w:tc>
          <w:tcPr>
            <w:tcW w:w="9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227,316</w:t>
            </w:r>
          </w:p>
        </w:tc>
        <w:tc>
          <w:tcPr>
            <w:tcW w:w="80" w:type="dxa"/>
            <w:vAlign w:val="bottom"/>
          </w:tcPr>
          <w:p>
            <w:pPr>
              <w:spacing w:after="0"/>
              <w:rPr>
                <w:sz w:val="18"/>
                <w:szCs w:val="18"/>
                <w:color w:val="auto"/>
              </w:rPr>
            </w:pPr>
          </w:p>
        </w:tc>
      </w:tr>
      <w:tr>
        <w:trPr>
          <w:trHeight w:val="25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56,831</w:t>
            </w:r>
          </w:p>
        </w:tc>
        <w:tc>
          <w:tcPr>
            <w:tcW w:w="80" w:type="dxa"/>
            <w:vAlign w:val="bottom"/>
            <w:shd w:val="clear" w:color="auto" w:fill="CCEEFF"/>
          </w:tcPr>
          <w:p>
            <w:pPr>
              <w:spacing w:after="0"/>
              <w:rPr>
                <w:sz w:val="21"/>
                <w:szCs w:val="21"/>
                <w:color w:val="auto"/>
              </w:rPr>
            </w:pPr>
          </w:p>
        </w:tc>
      </w:tr>
      <w:tr>
        <w:trPr>
          <w:trHeight w:val="217"/>
        </w:trPr>
        <w:tc>
          <w:tcPr>
            <w:tcW w:w="91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511,463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2018, we concluded that the Company’s fair value exceeded its carrying value therefore “it is not more likely than not” that the Goodwill was impaired. As no other indicators of impairment existed during the fourth quarter of 2018 and thus far in 2019, the Company concluded it is “not more likely than not” Goodwill was impaired.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Following is a summary of the net fair value of the assets acquired in the EGEN asset acquisition for the three-month periods ended March 31, 2019 and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Covenant Not To</w:t>
            </w:r>
          </w:p>
        </w:tc>
      </w:tr>
      <w:tr>
        <w:trPr>
          <w:trHeight w:val="237"/>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IPR&amp;D</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Goodwill</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Compete</w:t>
            </w:r>
          </w:p>
        </w:tc>
      </w:tr>
      <w:tr>
        <w:trPr>
          <w:trHeight w:val="216"/>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March 31, 2019</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Balance at January 1, 2019, net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15,736,491</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1,976,101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568,292</w:t>
            </w:r>
          </w:p>
        </w:tc>
        <w:tc>
          <w:tcPr>
            <w:tcW w:w="80" w:type="dxa"/>
            <w:vAlign w:val="bottom"/>
          </w:tcPr>
          <w:p>
            <w:pPr>
              <w:spacing w:after="0"/>
              <w:rPr>
                <w:sz w:val="18"/>
                <w:szCs w:val="18"/>
                <w:color w:val="auto"/>
              </w:rPr>
            </w:pPr>
          </w:p>
        </w:tc>
      </w:tr>
      <w:tr>
        <w:trPr>
          <w:trHeight w:val="25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(56,829)</w:t>
            </w:r>
          </w:p>
        </w:tc>
      </w:tr>
      <w:tr>
        <w:trPr>
          <w:trHeight w:val="257"/>
        </w:trPr>
        <w:tc>
          <w:tcPr>
            <w:tcW w:w="65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 at March 31, 2019, net</w:t>
            </w: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15,736,491</w:t>
            </w:r>
          </w:p>
        </w:tc>
        <w:tc>
          <w:tcPr>
            <w:tcW w:w="340" w:type="dxa"/>
            <w:vAlign w:val="bottom"/>
            <w:tcBorders>
              <w:top w:val="single" w:sz="8" w:color="CCEEFF"/>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1,976,101</w:t>
            </w:r>
          </w:p>
        </w:tc>
        <w:tc>
          <w:tcPr>
            <w:tcW w:w="340" w:type="dxa"/>
            <w:vAlign w:val="bottom"/>
            <w:tcBorders>
              <w:top w:val="single" w:sz="8" w:color="CCEEFF"/>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511,463</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three months ended March 31, 2018</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Balance at January 1, 2018, net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20,246,491</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1,976,101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795,608</w:t>
            </w:r>
          </w:p>
        </w:tc>
        <w:tc>
          <w:tcPr>
            <w:tcW w:w="80" w:type="dxa"/>
            <w:vAlign w:val="bottom"/>
          </w:tcPr>
          <w:p>
            <w:pPr>
              <w:spacing w:after="0"/>
              <w:rPr>
                <w:sz w:val="18"/>
                <w:szCs w:val="18"/>
                <w:color w:val="auto"/>
              </w:rPr>
            </w:pPr>
          </w:p>
        </w:tc>
      </w:tr>
      <w:tr>
        <w:trPr>
          <w:trHeight w:val="25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(56,829)</w:t>
            </w:r>
          </w:p>
        </w:tc>
      </w:tr>
      <w:tr>
        <w:trPr>
          <w:trHeight w:val="217"/>
        </w:trPr>
        <w:tc>
          <w:tcPr>
            <w:tcW w:w="6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March 31, 2018, net</w:t>
            </w: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20,246,491</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1,976,101</w:t>
            </w:r>
          </w:p>
        </w:tc>
        <w:tc>
          <w:tcPr>
            <w:tcW w:w="34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738,779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Note 9. Accrued Liabilities</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00" w:type="dxa"/>
            <w:vAlign w:val="bottom"/>
          </w:tcPr>
          <w:p>
            <w:pPr>
              <w:spacing w:after="0"/>
              <w:rPr>
                <w:sz w:val="20"/>
                <w:szCs w:val="20"/>
                <w:color w:val="auto"/>
              </w:rPr>
            </w:pPr>
            <w:r>
              <w:rPr>
                <w:rFonts w:ascii="Arial" w:cs="Arial" w:eastAsia="Arial" w:hAnsi="Arial"/>
                <w:sz w:val="18"/>
                <w:szCs w:val="18"/>
                <w:color w:val="auto"/>
              </w:rPr>
              <w:t>Other accrued liabilities at March 31, 2019 and December 31, 2018 include the following:</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March 31, 2019</w:t>
            </w: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2018</w:t>
            </w:r>
          </w:p>
        </w:tc>
      </w:tr>
      <w:tr>
        <w:trPr>
          <w:trHeight w:val="216"/>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1,316,545</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20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803,706</w:t>
            </w: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1,592,590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323,304</w:t>
            </w: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198,654</w:t>
            </w: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19,410</w:t>
            </w:r>
          </w:p>
        </w:tc>
        <w:tc>
          <w:tcPr>
            <w:tcW w:w="18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45,285</w:t>
            </w:r>
          </w:p>
        </w:tc>
      </w:tr>
      <w:tr>
        <w:trPr>
          <w:trHeight w:val="230"/>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2,462,965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Credit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The Company will use the funding provided under the Horizon Credit Agreement for working capital and advancement of its product pipeline.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obligations under the Horizon Credit Agreement are secured by a first-priority security interest in substantially all assets of Celsion other than intellectual property assets. The obligations will bear interest at a rate calculated based on one-month LIBOR plus 7.625%. The effective interest rate at December 31, 2018 was 9.98%. Payments under the loan agreement are interest only for the first twenty-four (24) months after loan closing, followed by a 24-month amortization period of principal and interest through the scheduled maturity date. At its option, the Company can prepay all the outstanding principal balance by prepaying the outstanding principal balance and an amount equal to 1-3% of the outstanding principal balance at that time, based on the amount of time prior to the maturity date of the notes.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 Upon the occurrence of an event of default under the Horizon Credit Agreement, the lenders may cease making loans, terminate the Horizon Credit Agreement, declare all amounts outstanding to be immediately due and payable and foreclose on or liquidate Celsion’s assets that comprise the lenders’ collateral. The Horizon Credit Agreement specifies a number of events of default (some of which are subject to applicable grace or cure periods), including, among other things, non-payment defaults, covenant defaults, a material adverse effect on Celsion or its assets, cross-defaults to other material indebtedness, bankruptcy and insolvency defaults and material judgment defaults.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fee in connection with the Horizon Credit Agreement, Celsion issued Horizon warrants exercisable for a total of 190,114 shares of Celsion’s common stock (the “Horizon Warrants”) at a per share exercise price of $2.63. The Horizon Warrants are immediately exercisable for cash or by net exercise from the date of grant and will expire after ten years from the date of grant. Celsion registered the Horizon Warrants on Form S-3 (File No. 333 - 227236) filed with the Securities and Exchange Commission on September 7, 2018 and declared effective on October 10, 2018. The Company valued the Horizon Warrants issued using the Black-Scholes option pricing model and recorded a total of $507,116 as a direct deduction from the debt liability consistent with the presentation of a debt discount and are being amortized as interest expense using the effective interest method over the life of the loan.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both"/>
        <w:spacing w:after="0" w:line="297" w:lineRule="auto"/>
        <w:rPr>
          <w:sz w:val="20"/>
          <w:szCs w:val="20"/>
          <w:color w:val="auto"/>
        </w:rPr>
      </w:pPr>
      <w:r>
        <w:rPr>
          <w:rFonts w:ascii="Arial" w:cs="Arial" w:eastAsia="Arial" w:hAnsi="Arial"/>
          <w:sz w:val="16"/>
          <w:szCs w:val="16"/>
          <w:color w:val="auto"/>
        </w:rPr>
        <w:t>In connection with the Horizon Credit Agreement, the Company incurred financing fees and expenses totaling $175,000 which are recorded and classified as debt discount. In addition, the Company paid loan origination fees of $100,000 which has been recorded and classified as debt discount. These debt discount amounts totaling $782,116 are being amortized as interest expense using the effective interest method over the life of the loan. Also, in connection with each of the Horizon Credit Agreements, the Company is required to pay an end of term charge equal to 4.0% of the original loan amount at time of maturity. Therefore, these amounts totaling $400,000 are being amortized as interest expense using the effective interest method over the life of the loan.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ending March 31, 2019, the Company incurred $253,289 in interest expense and amortized $97,458 respectively, as interest expense for debt discounts and end of term charges in connection with the Horizon Credit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schedule of future principal payments, net of unamortized debt discounts and amortized end of term charges, due on the Horizon Credit Agreement:</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8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 March 31,</w:t>
            </w:r>
          </w:p>
        </w:tc>
      </w:tr>
      <w:tr>
        <w:trPr>
          <w:trHeight w:val="216"/>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3,333,333</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tcPr>
          <w:p>
            <w:pPr>
              <w:spacing w:after="0"/>
              <w:rPr>
                <w:sz w:val="18"/>
                <w:szCs w:val="18"/>
                <w:color w:val="auto"/>
              </w:rPr>
            </w:pPr>
          </w:p>
        </w:tc>
      </w:tr>
      <w:tr>
        <w:trPr>
          <w:trHeight w:val="250"/>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8220" w:type="dxa"/>
            <w:vAlign w:val="bottom"/>
          </w:tcPr>
          <w:p>
            <w:pPr>
              <w:spacing w:after="0" w:line="203" w:lineRule="exact"/>
              <w:rPr>
                <w:sz w:val="20"/>
                <w:szCs w:val="20"/>
                <w:color w:val="auto"/>
              </w:rPr>
            </w:pPr>
            <w:r>
              <w:rPr>
                <w:rFonts w:ascii="Arial" w:cs="Arial" w:eastAsia="Arial" w:hAnsi="Arial"/>
                <w:sz w:val="18"/>
                <w:szCs w:val="18"/>
                <w:color w:val="auto"/>
              </w:rPr>
              <w:t>Subtotal of future principal payments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7"/>
                <w:szCs w:val="17"/>
                <w:color w:val="auto"/>
              </w:rPr>
            </w:pPr>
          </w:p>
        </w:tc>
      </w:tr>
      <w:tr>
        <w:trPr>
          <w:trHeight w:val="25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 net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(485,505)</w:t>
            </w:r>
          </w:p>
        </w:tc>
      </w:tr>
      <w:tr>
        <w:trPr>
          <w:trHeight w:val="217"/>
        </w:trPr>
        <w:tc>
          <w:tcPr>
            <w:tcW w:w="8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9,514,495</w:t>
            </w:r>
          </w:p>
        </w:tc>
        <w:tc>
          <w:tcPr>
            <w:tcW w:w="100" w:type="dxa"/>
            <w:vAlign w:val="bottom"/>
            <w:tcBorders>
              <w:top w:val="single" w:sz="8" w:color="CCEEFF"/>
            </w:tcBorders>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2018, the Company filed with the SEC a new $75 million shelf registration statement on Form S-3 (the 2018 Shelf Registration Statement) (File No. 333-227236) that allows the Company to issue any combination of common stock, preferred stock or warrants to purchase common stock or preferred stock. This shelf registration was declared effective on October 12, 2018 and will expire three years from that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Authorized Shares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the 2016 Annual Meeting of Stockholders of the Company in June 2016, the Company’s stockholders approved an increase in the number of the authorized shares of the Company’s common stock from 75,000,000 shares to 112,500,000 shares. The number of the authorized shares of preferred stock remains at 100,000 shares. The aggregate number of shares of all classes of stock that the Company may issue, after giving effect to such amendment as approved by the stockholders, will be 112,600,000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Reverse 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26, 2017, the Company effected a 14-for-1 reverse stock split of its common stock which was made effective for trading purposes as of the commencement of trading on May 30, 2017. As of that date, each 14 shares of issued and outstanding common stock and equivalents was consolidated into one share of common stock. All shares have been restated to reflect the effects of the 14 -for- 1 reverse stock split. In addition, at the market open on May 30, 2017, the Company’s common stock started trading under a new CUSIP number 15117N503 although the Company’s ticker symbol, CLSN, remained unchanged.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The reverse stock split was previously approved by the Company’s stockholders at the 2017 Annual Meeting held on May 16, 2017, and the Company subsequently filed a Certificate of Amendment to its Certificate of Incorporation to effect the stock consolidation. The primary reasons for the reverse stock split and the amendment are:</w:t>
      </w:r>
    </w:p>
    <w:p>
      <w:pPr>
        <w:spacing w:after="0" w:line="181" w:lineRule="exact"/>
        <w:rPr>
          <w:sz w:val="20"/>
          <w:szCs w:val="20"/>
          <w:color w:val="auto"/>
        </w:rPr>
      </w:pPr>
    </w:p>
    <w:p>
      <w:pPr>
        <w:ind w:left="920" w:hanging="655"/>
        <w:spacing w:after="0" w:line="258"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increase the market price of the Company’s common stock making it more attractive to a broader range of institutional and other investors, and</w:t>
      </w:r>
    </w:p>
    <w:p>
      <w:pPr>
        <w:spacing w:after="0" w:line="1" w:lineRule="exact"/>
        <w:rPr>
          <w:rFonts w:ascii="Arial" w:cs="Arial" w:eastAsia="Arial" w:hAnsi="Arial"/>
          <w:sz w:val="18"/>
          <w:szCs w:val="18"/>
          <w:color w:val="auto"/>
        </w:rPr>
      </w:pPr>
    </w:p>
    <w:p>
      <w:pPr>
        <w:ind w:left="920" w:hanging="655"/>
        <w:spacing w:after="0" w:line="26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the Company with additional capital resources and flexibility sufficient to execute its business plans including the establishment of strategic relationships with other companies and to ensure its ability to raise additional capital as necessary.</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Immediately prior to the reverse stock split, the Company had 56,982,418 shares of common stock outstanding which consolidated into 4,070,172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number of outstanding options and warrants were adjusted accordingly, with outstanding options being reduced from approximately 2.4 million to approximately 0.2 million and outstanding warrants being reduced from approximately 33.5 million to approximately 2.4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Purchase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2018, we entered into a common stock purchase agreement (the “Aspire Purchase Agreement”) with Aspire Capital Fund, LLC (“Aspire Capital”) which provides that, upon the terms and subject to the conditions and limitations set forth therein, Aspire Capital is committed to purchase up to an aggregate of $15.0 million of shares of the Company’s common stock over the 24-month term of the Aspire Purchase Agreement. On October 12, 2018, the Company filed with the SEC a prospectus supplement to the 2018 Shelf Registration Statement registering all the shares of common stock that may be offered to Aspire Capital from time to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Aspire Purchase Agreement, on any trading day selected by the Company, the Company has the right, in its sole discretion, to present Aspire Capital with a purchase notice (each, a “Purchase Notice”), directing Aspire Capital (as principal) to purchase up to 100,000 shares of the Company’s common stock per business day, up to $15.0 million of the Company’s common stock in the aggregate at a per share price (the “Purchase Price”) equal to the lesser of:</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lowest sale price of the Company’s common stock on the purchase date; or</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arithmetic average of the three (3) lowest closing sale prices for the Company’s common stock during the ten (10) consecutive trading days ending on the trading day immediately preceding the purchase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Aspire Capital also may mutually agree to increase the number of shares that may be sold to as much as an additional 2,000,000 shares per business day.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on any date on which the Company submits a Purchase Notice to Aspire Capital in an amount equal to at least 100,000 shares, the Company also has the right, in its sole discretion, to present Aspire Capital with a volume-weighted average price purchase notice (each, a “VWAP Purchase Notice”) directing Aspire Capital to purchase an amount of stock equal to up to 30% of the aggregate shares of the Company’s common stock traded on its principal market on the next trading day (the “VWAP Purchase Date”), subject to a maximum number of shares the Company may determine. The purchase price per share pursuant to such VWAP Purchase Notice is generally 97% of the volume-weighted average price for the Company’s common stock traded on its principal market on the VWAP Purchase Date.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will be adjusted for any reorganization, recapitalization, non-cash dividend, stock split, or other similar transaction occurring during the period(s) used to compute the Purchase Price. The Company may deliver multiple Purchase Notices and VWAP Purchase Notices to Aspire Capital from time to time during the term of the Purchase Agreement, so long as the most recent purchase has been completed.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spacing w:after="0" w:line="285" w:lineRule="auto"/>
        <w:rPr>
          <w:sz w:val="20"/>
          <w:szCs w:val="20"/>
          <w:color w:val="auto"/>
        </w:rPr>
      </w:pPr>
      <w:r>
        <w:rPr>
          <w:rFonts w:ascii="Arial" w:cs="Arial" w:eastAsia="Arial" w:hAnsi="Arial"/>
          <w:sz w:val="16"/>
          <w:szCs w:val="16"/>
          <w:color w:val="auto"/>
        </w:rPr>
        <w:t>There are no trading volume requirements or restrictions under the Aspire Purchase Agreement, and the Company will control the timing and amount of sales of the Company’s common stock to Aspire Capital. Aspire Capital has no right to require any sales by the Company but is obligated to make purchases from the Company as directed by the Company in accordance with the Aspire Purchase Agreement. There are no limitations on use of proceeds, financial or business covenants, restrictions on future funding, rights of first refusal, participation rights, penalties or liquidated damages in the Aspire Purchase Agreement. In consideration for entering into the Aspire Purchase Agreement, concurrently with the execution of the Aspire Purchase Agreement, the Company issued to Aspire Capital 164,835 shares of the Company’s common stock (the “Commitment Shares”). The Company’s policy is to record specific incremental costs directly attributable to an offering as a charge against the gross proceeds, if any, when the offering becomes effective. These Commitment Shares valued at $450,000 were recorded in September 2018 as costs of equity financing and charged against additional paid-in capital. The Aspire Purchase Agreement may be terminated by the Company at any time, at its discretion, without any cost to the Company. Aspire Capital has agreed that neither it nor any of its agents, representatives and affiliates shall engage in any direct or indirect short-selling or hedging of the Company’s common stock during any time prior to the termination of the Aspire Purchase Agreement. Any proceeds from the Company receives under the Aspire Purchase Agreement are expected to be used for working capital and general corporate purposes. During 2018, the Company sold and issued an aggregate of 100,000 shares under the Aspire Purchase Agreement, receiving approximately $0.2 million. The Company sold and issued an aggregate of 600,000 shares under the Aspire Purchase Agreement, receiving approximately $1.3 million during the first three months of 2019. Subsequent to the date of the balance sheet and through May 14, 2019, the Company sold 700,000 shares under the Aspire Purchase Agreement, receiving approximately $1.5 million in additional gross proceeds. As of March 31, 2019, the Company has $12.9 million remaining under the Aspire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on Demand</w:t>
      </w:r>
      <w:r>
        <w:rPr>
          <w:rFonts w:ascii="Arial" w:cs="Arial" w:eastAsia="Arial" w:hAnsi="Arial"/>
          <w:sz w:val="30"/>
          <w:szCs w:val="30"/>
          <w:i w:val="1"/>
          <w:iCs w:val="1"/>
          <w:u w:val="single" w:color="auto"/>
          <w:color w:val="auto"/>
          <w:vertAlign w:val="superscript"/>
        </w:rPr>
        <w:t>TM</w:t>
      </w:r>
      <w:r>
        <w:rPr>
          <w:rFonts w:ascii="Arial" w:cs="Arial" w:eastAsia="Arial" w:hAnsi="Arial"/>
          <w:sz w:val="18"/>
          <w:szCs w:val="18"/>
          <w:i w:val="1"/>
          <w:iCs w:val="1"/>
          <w:u w:val="single" w:color="auto"/>
          <w:color w:val="auto"/>
        </w:rPr>
        <w:t xml:space="preserve"> Sales Agreement</w:t>
      </w:r>
    </w:p>
    <w:p>
      <w:pPr>
        <w:spacing w:after="0" w:line="12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On December 4, 2018, the Company entered into a Capital on Demand</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the Company’s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pay JonesTrading a commission of 3.0% of the aggregate gross proceeds from each sale of Common Stock and has agreed to provide JonesTrading with customary indemnification and contribution rights.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will be issued pursuant to the Company’s previously filed and effective Registration Statement on Form S-3 (File No. 333-227236), the base prospectus dated October 12, 2018, filed as part of such Registration Statement, and the prospectus supplement dated December 4, 2018, filed by Celsion with the Securities and Exchange Commission. The Company did not sell any shares under the Capital on Demand Agreement as of December 31, 2018. During the first three months of 2019 the Company sold and issued an aggregate of 122,186 shares under the Capital on Demand Agreement, receiving approximately $0.3 million. Subsequent to the date of the balance sheet and through May 14, 2019, the Company sold 120,700 shares under the Capital on Demand Agreement, receiving approximately $0.3 million in additional gross proceeds. As of March 31, 2019, the Company has $15.7 million remaining under the Capital on Demand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1, 2013, the Company entered into a Controlled Equity Offering SM Sales Agreement (the “ATM Agreement”) with Cantor Fitzgerald &amp; Co., as sales agent (“Cantor”), pursuant to which Celsion could offer and sell, from time to time, through Cantor, shares of our common stock having an aggregate offering price of up to $25.0 million (the “ATM Shares”) pursuant to the 2015 Shelf Registration Statement.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our common stock or to or through a market maker. On October 10, 2018, the Company delivered notice to Cantor terminating the ATM effective as of October 20, 2018. The Company has no further obligations under the Sales Agreement. From February 1, 2013 through the date of the termination of the ATM Agreement, the Company sold and issued an aggregate of 1,784,396 shares of common stock under the ATM Agreement, receiving approximately $12.8 million in gross proceeds. During the first three months of 2018, the Company received approximately $1.2 million in proceeds from the sale of 457,070 shares of common stock under the ATM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 based-awards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2018 Annual Stockholders Meeting of the Company held on May 15, 2018,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Prior to the adoption of the 2018 Plan, the Company had maintained the Celsion Corporation 2007 Stock Incentive Plan (the 2007 Plan). The 2007 Plan permitted the granting of 688,531 shares of Celsion common stock as equity awards in the form of incentive stock options, nonqualified stock options, restricted stock, restricted stock units, stock appreciation rights, phantom stock, performance awards, or in any combination of the foregoing. The 2018 Plan replaced the 2007 Plan although the 2007 Plan remains in effect for awards previously granted under the 2007 Plan. Under the terms of the 2018 Plan, any shares subject to an award under the 2007 Plan which are not delivered because of the expiration, forfeiture, termination or cash settlement of the award will become available for grant under the 2018 Plan.</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28, 2018, and again on February 19, 2019, the Compensation Committee of the Board of Directors approved the grant of (i) inducement stock options (the “Inducement Option Grants”) to purchase a total of 164,004 and 140,004 shares of Celsion common stock, respectively and (ii) inducement restricted stock awards (the “Inducement Stock Grants”) totaling 19,000 and 13,000 shares of Celsion common stock to five new employees collectively. Each award has a grant date of the date of grant. Each Inducement Option Grant has an exercise price per share equal to 2.77 and $2.18 which represents the closing price of Celsion’s common stock as reported by Nasdaq on September 28, 2018 and February 19, 2019, respectively.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will vest on the one-year anniversary of the employee’s first day of employment with the Company and are subject to the new employee’s continued service relationship with the Company through such date and is subject to the terms and conditions of the applicable restricted stock agreement.</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2019, there were a total of 3,385,393 shares of Celsion common stock reserved for issuance under the 2018 Plan, which were comprised of 3,359,886 shares of Celsion common stock subject to equity awards previously granted under the 2018 Plan and 2007 Plan and 25,507 shares of Celsion common stock available for future issuance under the 2018 Plan. As of March 31, 2019, there were a total of 259,506 of Celsion common stock subject to outstanding inducement awards.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$691,145 and $169,508 for the three-month periods ended March 31, 2019, and 2018, respectively. Of these amounts, $240,387 and $52,322 was charged to research and development during the three-month periods ended March 31, 2019 and 2018, respectively, and $450,758 and $117,186 was charged to general and administrative expenses during the three-month periods ended March 31, 2019 and 2018,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2019, there was $1.9 million of total unrecognized compensation cost related to non-vested stock-based compensation arrangements. That cost is expected to be recognized over a weighted-average period of 1.0 years. The weighted average grant date fair values of the stock options granted during the three-month periods ended March 31, 2019 and 2018 was $1.90 and $2.27,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awards and restricted stock grants for the three-months ended March 31, 2019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6"/>
              </w:rPr>
              <w:t>Restricted Stock Awards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2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Non-vested</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Terms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Restricted</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Grant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Date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January 1, 2019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3,148,743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454,504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forfeited, cancelled or expired</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March 31, 2019</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3,591,892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Aggregate intrinsic value of outstanding equity awards at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March 31, 2019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53,900</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March 31, 2019</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1,684,265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Aggregate intrinsic value of equity awards exercisable at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March 31, 2019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40" w:type="dxa"/>
            <w:vAlign w:val="bottom"/>
          </w:tcPr>
          <w:p>
            <w:pPr>
              <w:spacing w:after="0"/>
              <w:rPr>
                <w:sz w:val="20"/>
                <w:szCs w:val="20"/>
                <w:color w:val="auto"/>
              </w:rPr>
            </w:pPr>
          </w:p>
        </w:tc>
        <w:tc>
          <w:tcPr>
            <w:tcW w:w="348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7940" w:type="dxa"/>
            <w:vAlign w:val="bottom"/>
            <w:tcBorders>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top w:val="single" w:sz="8" w:color="auto"/>
              <w:bottom w:val="single" w:sz="8" w:color="CCEEFF"/>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101.3 -106.2%</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7.5 - 9.3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 Starting in 2017, the Company elected to account for any forfeitures when they occur.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EGEN asset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28, 2019, the Company and EGWU, Inc, entered into an amendment to the Asset Purchase Agreement discussed in Note 8 (the “Amended Asset Purchase Agreement”). Pursuant to the Amended Asset Purchase Agreement, payment of the earnout milestone liability related to the Ovarian Cancer Indication of $12.4 million has been modified. The Company has the option to make the payment as follows:</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this amended agreement. The warrants shares have no expiration and were fair valued at $2.00 using the closing price of a share of Celsion stock on the date of issuance offset by the exercise price and recorded as a non-cash expense in the income statement and were classified as equity on the balance sheet.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2018, the Company fair valued the earn-out milestone liability at $8.9 million. At March 31, 2019, the Company fair valued the earnout milestone liability at $5.8 million and recognized a non-cash benefit of $3.1 million during the three months ended March 31, 2019 as a result of the change in fair value of the earnout milestone liability at December 31, 2018. In assessing the earnout milestone liability at March 31, 2019, the Company the fair valued each of the two payment options per the Amended Asset Purchase Agreement and weighted them at 80% and 20% probability for the $7.0 million and the $12.4 million payments,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and December 31, 2017, the Company fair valued these milestones at $12.8 million and $12.5 million, respectively, and recognized a non-cash charge of $270,195 during the three months ended March 31, 2018 as a result of the change in the fair value of these milestones from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480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(8,907,664)</w:t>
            </w: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r>
              <w:rPr>
                <w:rFonts w:ascii="Arial" w:cs="Arial" w:eastAsia="Arial" w:hAnsi="Arial"/>
                <w:sz w:val="18"/>
                <w:szCs w:val="18"/>
                <w:color w:val="auto"/>
              </w:rPr>
              <w:t>Non-cash gain from the adjustment for the change in fair value</w:t>
            </w:r>
          </w:p>
        </w:tc>
        <w:tc>
          <w:tcPr>
            <w:tcW w:w="4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3,130,000</w:t>
            </w:r>
          </w:p>
        </w:tc>
        <w:tc>
          <w:tcPr>
            <w:tcW w:w="0" w:type="dxa"/>
            <w:vAlign w:val="bottom"/>
          </w:tcPr>
          <w:p>
            <w:pPr>
              <w:spacing w:after="0"/>
              <w:rPr>
                <w:sz w:val="1"/>
                <w:szCs w:val="1"/>
                <w:color w:val="auto"/>
              </w:rPr>
            </w:pPr>
          </w:p>
        </w:tc>
      </w:tr>
      <w:tr>
        <w:trPr>
          <w:trHeight w:val="23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40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(5,777,664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080" w:type="dxa"/>
            <w:vAlign w:val="bottom"/>
            <w:vMerge w:val="restart"/>
          </w:tcPr>
          <w:p>
            <w:pPr>
              <w:jc w:val="right"/>
              <w:ind w:right="3250"/>
              <w:spacing w:after="0"/>
              <w:rPr>
                <w:sz w:val="20"/>
                <w:szCs w:val="20"/>
                <w:color w:val="auto"/>
              </w:rPr>
            </w:pPr>
            <w:r>
              <w:rPr>
                <w:rFonts w:ascii="Arial" w:cs="Arial" w:eastAsia="Arial" w:hAnsi="Arial"/>
                <w:sz w:val="18"/>
                <w:szCs w:val="18"/>
                <w:color w:val="auto"/>
              </w:rPr>
              <w:t>21</w:t>
            </w: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0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is a schedule of the Company’s risk-adjustment assessment of each milestone: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Risk-adjustment Assessment of</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60" w:type="dxa"/>
            <w:vAlign w:val="bottom"/>
            <w:gridSpan w:val="2"/>
          </w:tcPr>
          <w:p>
            <w:pPr>
              <w:ind w:left="1740"/>
              <w:spacing w:after="0"/>
              <w:rPr>
                <w:sz w:val="20"/>
                <w:szCs w:val="20"/>
                <w:color w:val="auto"/>
              </w:rPr>
            </w:pPr>
            <w:r>
              <w:rPr>
                <w:rFonts w:ascii="Arial" w:cs="Arial" w:eastAsia="Arial" w:hAnsi="Arial"/>
                <w:sz w:val="18"/>
                <w:szCs w:val="18"/>
                <w:b w:val="1"/>
                <w:bCs w:val="1"/>
                <w:color w:val="auto"/>
              </w:rPr>
              <w:t>Date</w:t>
            </w: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achieving each Milestone</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Discount Rate</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 Time to Achieve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2019</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 to 2.00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254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1.25 years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March 31, 2018</w:t>
            </w:r>
          </w:p>
        </w:tc>
        <w:tc>
          <w:tcPr>
            <w:tcW w:w="2760" w:type="dxa"/>
            <w:vAlign w:val="bottom"/>
            <w:gridSpan w:val="2"/>
          </w:tcPr>
          <w:p>
            <w:pPr>
              <w:jc w:val="right"/>
              <w:ind w:right="220"/>
              <w:spacing w:after="0"/>
              <w:rPr>
                <w:sz w:val="20"/>
                <w:szCs w:val="20"/>
                <w:color w:val="auto"/>
              </w:rPr>
            </w:pPr>
            <w:r>
              <w:rPr>
                <w:rFonts w:ascii="Arial" w:cs="Arial" w:eastAsia="Arial" w:hAnsi="Arial"/>
                <w:sz w:val="18"/>
                <w:szCs w:val="18"/>
                <w:color w:val="auto"/>
              </w:rPr>
              <w:t>35% to 80%</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1.08 to 1.25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 to 80%</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1.33 to 1.50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all warrant activity for the three months ended March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41"/>
        </w:trPr>
        <w:tc>
          <w:tcPr>
            <w:tcW w:w="8000" w:type="dxa"/>
            <w:vAlign w:val="bottom"/>
            <w:gridSpan w:val="3"/>
          </w:tcPr>
          <w:p>
            <w:pPr>
              <w:spacing w:after="0"/>
              <w:rPr>
                <w:sz w:val="20"/>
                <w:szCs w:val="20"/>
                <w:color w:val="auto"/>
              </w:rPr>
            </w:pPr>
            <w:r>
              <w:rPr>
                <w:rFonts w:ascii="Arial" w:cs="Arial" w:eastAsia="Arial" w:hAnsi="Arial"/>
                <w:sz w:val="18"/>
                <w:szCs w:val="18"/>
                <w:color w:val="auto"/>
              </w:rPr>
              <w:t>Warrants</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Warrants Issued</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December 31, 2018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Warrants issued during the three months ended March 31, 2019 (see Note 13)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Warrants outstanding at March 31, 2019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1,793,162</w:t>
            </w:r>
          </w:p>
        </w:tc>
        <w:tc>
          <w:tcPr>
            <w:tcW w:w="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gridSpan w:val="3"/>
          </w:tcPr>
          <w:p>
            <w:pPr>
              <w:spacing w:after="0"/>
              <w:rPr>
                <w:sz w:val="20"/>
                <w:szCs w:val="20"/>
                <w:color w:val="auto"/>
              </w:rPr>
            </w:pPr>
            <w:r>
              <w:rPr>
                <w:rFonts w:ascii="Arial" w:cs="Arial" w:eastAsia="Arial" w:hAnsi="Arial"/>
                <w:sz w:val="18"/>
                <w:szCs w:val="18"/>
                <w:color w:val="auto"/>
                <w:w w:val="99"/>
              </w:rPr>
              <w:t>Aggregate intrinsic value of outstanding warrants at March 31, 2019</w:t>
            </w: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390,000</w:t>
            </w: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80" w:type="dxa"/>
            <w:vAlign w:val="bottom"/>
            <w:gridSpan w:val="3"/>
          </w:tcPr>
          <w:p>
            <w:pPr>
              <w:spacing w:after="0"/>
              <w:rPr>
                <w:sz w:val="20"/>
                <w:szCs w:val="20"/>
                <w:color w:val="auto"/>
              </w:rPr>
            </w:pPr>
            <w:r>
              <w:rPr>
                <w:rFonts w:ascii="Arial" w:cs="Arial" w:eastAsia="Arial" w:hAnsi="Arial"/>
                <w:sz w:val="18"/>
                <w:szCs w:val="18"/>
                <w:color w:val="auto"/>
                <w:w w:val="98"/>
              </w:rPr>
              <w:t>Schedule of weighted average remaining contractual terms at March</w:t>
            </w: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5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Weighted Average</w:t>
            </w:r>
          </w:p>
        </w:tc>
        <w:tc>
          <w:tcPr>
            <w:tcW w:w="200" w:type="dxa"/>
            <w:vAlign w:val="bottom"/>
          </w:tcPr>
          <w:p>
            <w:pPr>
              <w:spacing w:after="0"/>
              <w:rPr>
                <w:sz w:val="24"/>
                <w:szCs w:val="24"/>
                <w:color w:val="auto"/>
              </w:rPr>
            </w:pPr>
          </w:p>
        </w:tc>
        <w:tc>
          <w:tcPr>
            <w:tcW w:w="2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Weighted Average Contractual</w:t>
            </w:r>
          </w:p>
        </w:tc>
        <w:tc>
          <w:tcPr>
            <w:tcW w:w="0" w:type="dxa"/>
            <w:vAlign w:val="bottom"/>
          </w:tcPr>
          <w:p>
            <w:pPr>
              <w:spacing w:after="0"/>
              <w:rPr>
                <w:sz w:val="1"/>
                <w:szCs w:val="1"/>
                <w:color w:val="auto"/>
              </w:rPr>
            </w:pPr>
          </w:p>
        </w:tc>
      </w:tr>
      <w:tr>
        <w:trPr>
          <w:trHeight w:val="241"/>
        </w:trPr>
        <w:tc>
          <w:tcPr>
            <w:tcW w:w="5160" w:type="dxa"/>
            <w:vAlign w:val="bottom"/>
            <w:gridSpan w:val="2"/>
          </w:tcPr>
          <w:p>
            <w:pPr>
              <w:spacing w:after="0"/>
              <w:rPr>
                <w:sz w:val="20"/>
                <w:szCs w:val="20"/>
                <w:color w:val="auto"/>
              </w:rPr>
            </w:pPr>
            <w:r>
              <w:rPr>
                <w:rFonts w:ascii="Arial" w:cs="Arial" w:eastAsia="Arial" w:hAnsi="Arial"/>
                <w:sz w:val="18"/>
                <w:szCs w:val="18"/>
                <w:color w:val="auto"/>
              </w:rPr>
              <w:t>31, 2019</w:t>
            </w:r>
          </w:p>
        </w:tc>
        <w:tc>
          <w:tcPr>
            <w:tcW w:w="220" w:type="dxa"/>
            <w:vAlign w:val="bottom"/>
          </w:tcPr>
          <w:p>
            <w:pPr>
              <w:spacing w:after="0"/>
              <w:rPr>
                <w:sz w:val="20"/>
                <w:szCs w:val="20"/>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Warrants Issued</w:t>
            </w:r>
          </w:p>
        </w:tc>
        <w:tc>
          <w:tcPr>
            <w:tcW w:w="140" w:type="dxa"/>
            <w:vAlign w:val="bottom"/>
          </w:tcPr>
          <w:p>
            <w:pPr>
              <w:spacing w:after="0"/>
              <w:rPr>
                <w:sz w:val="20"/>
                <w:szCs w:val="20"/>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Exercise Price</w:t>
            </w:r>
          </w:p>
        </w:tc>
        <w:tc>
          <w:tcPr>
            <w:tcW w:w="200" w:type="dxa"/>
            <w:vAlign w:val="bottom"/>
          </w:tcPr>
          <w:p>
            <w:pPr>
              <w:spacing w:after="0"/>
              <w:rPr>
                <w:sz w:val="20"/>
                <w:szCs w:val="20"/>
                <w:color w:val="auto"/>
              </w:rPr>
            </w:pPr>
          </w:p>
        </w:tc>
        <w:tc>
          <w:tcPr>
            <w:tcW w:w="2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Terms Remaining (in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provided to EGWU, Inc (Note 13)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 expiration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DDD Warrants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1,166,250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Expired on April 4, 2019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warrants outstanding</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426,912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15. Leases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had an initial term of 66 months. In late 2015, Lenox Drive Office Park LLC, purchased the real estate and office building and assumed the Lease. This Lease was set to expire on April 30, 2017. In April 2017, the Company and the landlord amended the Lease effective May 1, 2017. The 1st Lease Amendment extended the term of the agreement for an additional 64 months, reduced the premises to 7,565 square feet, reduced the monthly rent and provided four months free rent. The monthly rent ranged from approximately $18,900 in the first year to approximately $20,500 in the final year of the 1st Lease Amendment. The Company also had a one-time option to cancel the lease as of the 40th month after the commencement date of the 1st Lease Amendment and must provide the landlord notice by the 28th month of the lease. Effective January 9, 2019, we amended the current terms of the 1st Lease Amendment to increase the size of the premises by 2,285 square feet to 9,850 square feet and also extended the lease term by one year to September 1, 2023. In conjunction with this 2nd Lease Amendment, we agreed to modify our one-time option to cancel the lease as of the end of August 2021 and we must provide notice to the landlord by the end of August 2020. The monthly rent will range from approximately $25,035 in the first year to approximately $27,088 in the final year of the 2nd Lease Amendment.</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previously mentioned in Note 4, we adopted ASC Topic 842 on January 1, 2019 using the modified retrospective transition method for all lease arrangements at the beginning of the period of adoption. Results for reporting periods beginning January 1, 2019 are presented under ASC 842, while prior period amounts were not adjusted and continue to be reported in accordance with our historic accounting under Topic 840, Leases. The standard had a material impact on our Consolidated Condensed Balance Sheet but had no impact on our consolidated net earnings and cash flows. The most significant impact of adopting ASC Topic 842 was the recognition of the right-of-use (ROU) asset and lease liabilities for operating leases, which are presented in the following three-line items on the Consolidated Condensed Balance Sheet: (i) operating lease right-of-use asset; (ii) current operating lease liabilities; and (iii) operating lease liabilities. Therefore, on date of adoption of ASC Topic 842, the Company recognized a ROU asset of $1.4 million, operating lease liabilities, current and non-current collectively, of $1.5 million and reduced other liabilities by approximately $0.1 million. We elected the package of practical expedients for leases that commenced before the effective date of ASC Topic 842 whereby we elected to not reassess the following: (i) whether any expired or existing contracts contain leases; (ii) the lease classification for any expired or existing leases; and (iii) initial direct costs for any existing leases. In addition, we have lease agreements with lease and non-lease components, and we have elected the practical expedient for all underlying asset classes and account for them as a single lease component. We have no finance leases. We determine if an arrangement is a lease at inception. We have operating leases for office space and research and development facilities. Neither of our leases include options to renew, however, one contains an option for early termination. We considered the option of early termination in measurement of right-of-use assets and lease liabilities and we determined it is not reasonably certain to be terminated. In connection with the 2nd Lease Amendment for the New Jersey office lease in January 2019, the Company considered this as one modified lease and not as two separate leases. Therefore, in January 2019, the Company determined this lease was an operating lease and remeasured the ROU asset and lease liability. Therefore, the Company increased the ROU asset and operating lease liabilities by $0.4 million to $1.8 million and $1.9 million, respectively.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w w:val="95"/>
              </w:rPr>
              <w:t>Following is a table of the lease payments and maturity of our operating lease liabilities as of March 31, 2019:</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For the year ending</w:t>
            </w: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379,678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525,809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535,579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 and thereafter</w:t>
            </w:r>
          </w:p>
        </w:tc>
        <w:tc>
          <w:tcPr>
            <w:tcW w:w="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Subtotal future lease payments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2,204,917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802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2"/>
          </w:tcPr>
          <w:p>
            <w:pPr>
              <w:jc w:val="right"/>
              <w:ind w:right="120"/>
              <w:spacing w:after="0"/>
              <w:rPr>
                <w:sz w:val="20"/>
                <w:szCs w:val="20"/>
                <w:color w:val="auto"/>
              </w:rPr>
            </w:pPr>
            <w:r>
              <w:rPr>
                <w:rFonts w:ascii="Arial" w:cs="Arial" w:eastAsia="Arial" w:hAnsi="Arial"/>
                <w:sz w:val="18"/>
                <w:szCs w:val="18"/>
                <w:color w:val="auto"/>
              </w:rPr>
              <w:t>(421,282)</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1,783,635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 w:type="dxa"/>
            <w:vAlign w:val="bottom"/>
            <w:vMerge w:val="restart"/>
          </w:tcPr>
          <w:p>
            <w:pPr>
              <w:spacing w:after="0"/>
              <w:rPr>
                <w:sz w:val="21"/>
                <w:szCs w:val="21"/>
                <w:color w:val="auto"/>
              </w:rPr>
            </w:pPr>
          </w:p>
        </w:tc>
        <w:tc>
          <w:tcPr>
            <w:tcW w:w="8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0" w:type="dxa"/>
            <w:vAlign w:val="bottom"/>
            <w:vMerge w:val="continue"/>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life</w:t>
            </w: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 years</w:t>
            </w:r>
          </w:p>
        </w:tc>
        <w:tc>
          <w:tcPr>
            <w:tcW w:w="0" w:type="dxa"/>
            <w:vAlign w:val="bottom"/>
          </w:tcPr>
          <w:p>
            <w:pPr>
              <w:spacing w:after="0"/>
              <w:rPr>
                <w:sz w:val="1"/>
                <w:szCs w:val="1"/>
                <w:color w:val="auto"/>
              </w:rPr>
            </w:pPr>
          </w:p>
        </w:tc>
      </w:tr>
      <w:tr>
        <w:trPr>
          <w:trHeight w:val="243"/>
        </w:trPr>
        <w:tc>
          <w:tcPr>
            <w:tcW w:w="300" w:type="dxa"/>
            <w:vAlign w:val="bottom"/>
            <w:vMerge w:val="restart"/>
          </w:tcPr>
          <w:p>
            <w:pPr>
              <w:spacing w:after="0"/>
              <w:rPr>
                <w:sz w:val="21"/>
                <w:szCs w:val="21"/>
                <w:color w:val="auto"/>
              </w:rPr>
            </w:pPr>
          </w:p>
        </w:tc>
        <w:tc>
          <w:tcPr>
            <w:tcW w:w="80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 w:type="dxa"/>
            <w:vAlign w:val="bottom"/>
            <w:vMerge w:val="continue"/>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March 30, 2019, operating lease cost was $130,595. During the three-month period ended March 29, 2019, cash paid for operating leases included in operating cash flows was $106,000. For the three months ended March 30, 2018, operating lease cost was $114,999. During the three-month period ended March 29, 2018, cash paid for operating leases included in operating cash flows was $116,477.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7, 2012, the Company entered into a long-term commercial supply agreement with Zhejiang Hisun Pharmaceutical Co. Ltd. (Hisun) for the production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manufacture of ThermoDox</w:t>
      </w:r>
      <w:r>
        <w:rPr>
          <w:rFonts w:ascii="Arial" w:cs="Arial" w:eastAsia="Arial" w:hAnsi="Arial"/>
          <w:sz w:val="26"/>
          <w:szCs w:val="26"/>
          <w:color w:val="auto"/>
          <w:vertAlign w:val="superscript"/>
        </w:rPr>
        <w:t>®</w:t>
      </w:r>
      <w:r>
        <w:rPr>
          <w:rFonts w:ascii="Arial" w:cs="Arial" w:eastAsia="Arial" w:hAnsi="Arial"/>
          <w:sz w:val="16"/>
          <w:szCs w:val="16"/>
          <w:color w:val="auto"/>
        </w:rPr>
        <w:t>. Celsion will repay Hisun for the aggregate amount of these development costs and fees commencing on the successful completion of three registration batches of ThermoDox</w:t>
      </w:r>
      <w:r>
        <w:rPr>
          <w:rFonts w:ascii="Arial" w:cs="Arial" w:eastAsia="Arial" w:hAnsi="Arial"/>
          <w:sz w:val="26"/>
          <w:szCs w:val="26"/>
          <w:color w:val="auto"/>
          <w:vertAlign w:val="superscript"/>
        </w:rPr>
        <w:t>®</w:t>
      </w:r>
      <w:r>
        <w:rPr>
          <w:rFonts w:ascii="Arial" w:cs="Arial" w:eastAsia="Arial" w:hAnsi="Arial"/>
          <w:sz w:val="16"/>
          <w:szCs w:val="16"/>
          <w:color w:val="auto"/>
        </w:rPr>
        <w:t>. Hisun is also obligated to certain performance requirements under the agreement. The agreement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will initially be limited to a percentage of the production requirements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with Hisun retaining an option for additional global supply after local regulatory approval in the China territory. In addition, Hisun will collaborate with Celsion around the regulatory approval activities</w:t>
      </w:r>
    </w:p>
    <w:p>
      <w:pPr>
        <w:jc w:val="both"/>
        <w:spacing w:after="0" w:line="221" w:lineRule="auto"/>
        <w:rPr>
          <w:sz w:val="20"/>
          <w:szCs w:val="20"/>
          <w:color w:val="auto"/>
        </w:rPr>
      </w:pPr>
      <w:r>
        <w:rPr>
          <w:rFonts w:ascii="Arial" w:cs="Arial" w:eastAsia="Arial" w:hAnsi="Arial"/>
          <w:sz w:val="18"/>
          <w:szCs w:val="18"/>
          <w:color w:val="auto"/>
        </w:rPr>
        <w:t>for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with the China State Food and Drug Administration (CHINA FDA). During the first quarter of 2015, Hisun completed the successful manufacture of three registration batches of ThermoDox</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8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and other activities to further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based on findings of the ongoing post-study analysis of the HEAT Study data.</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cooperation for the continued clinical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as well as the technology transfer relating to the commercial manufacture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China territory. This expanded level of cooperation includes development of the next generation liposomal formulation with the goal of creating safer, more efficacious versions of marketed cancer chemotherapeutics.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980" w:hanging="648"/>
        <w:spacing w:after="0" w:line="277"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74" w:lineRule="exact"/>
        <w:rPr>
          <w:rFonts w:ascii="Arial" w:cs="Arial" w:eastAsia="Arial" w:hAnsi="Arial"/>
          <w:sz w:val="18"/>
          <w:szCs w:val="18"/>
          <w:b w:val="1"/>
          <w:bCs w:val="1"/>
          <w:color w:val="auto"/>
        </w:rPr>
      </w:pPr>
    </w:p>
    <w:p>
      <w:pPr>
        <w:ind w:left="980" w:hanging="648"/>
        <w:spacing w:after="0" w:line="186" w:lineRule="auto"/>
        <w:tabs>
          <w:tab w:leader="none" w:pos="980" w:val="left"/>
        </w:tabs>
        <w:numPr>
          <w:ilvl w:val="0"/>
          <w:numId w:val="8"/>
        </w:numPr>
        <w:rPr>
          <w:rFonts w:ascii="Arial" w:cs="Arial" w:eastAsia="Arial" w:hAnsi="Arial"/>
          <w:sz w:val="36"/>
          <w:szCs w:val="36"/>
          <w:b w:val="1"/>
          <w:bCs w:val="1"/>
          <w:color w:val="auto"/>
          <w:vertAlign w:val="superscript"/>
        </w:rPr>
      </w:pPr>
      <w:r>
        <w:rPr>
          <w:rFonts w:ascii="Arial" w:cs="Arial" w:eastAsia="Arial" w:hAnsi="Arial"/>
          <w:sz w:val="18"/>
          <w:szCs w:val="18"/>
          <w:color w:val="auto"/>
        </w:rPr>
        <w:t>Hisun will coordinate with the Company around the clinical and regulatory approval activities for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as well as other liposomal formations with the CHINA FDA; and</w:t>
      </w:r>
    </w:p>
    <w:p>
      <w:pPr>
        <w:spacing w:after="0" w:line="207" w:lineRule="exact"/>
        <w:rPr>
          <w:rFonts w:ascii="Arial" w:cs="Arial" w:eastAsia="Arial" w:hAnsi="Arial"/>
          <w:sz w:val="36"/>
          <w:szCs w:val="36"/>
          <w:b w:val="1"/>
          <w:bCs w:val="1"/>
          <w:color w:val="auto"/>
          <w:vertAlign w:val="superscript"/>
        </w:rPr>
      </w:pPr>
    </w:p>
    <w:p>
      <w:pPr>
        <w:ind w:left="980" w:hanging="648"/>
        <w:spacing w:after="0" w:line="186" w:lineRule="auto"/>
        <w:tabs>
          <w:tab w:leader="none" w:pos="980" w:val="left"/>
        </w:tabs>
        <w:numPr>
          <w:ilvl w:val="0"/>
          <w:numId w:val="8"/>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Hisun will be granted a right of </w:t>
      </w:r>
      <w:r>
        <w:rPr>
          <w:rFonts w:ascii="Arial" w:cs="Arial" w:eastAsia="Arial" w:hAnsi="Arial"/>
          <w:sz w:val="18"/>
          <w:szCs w:val="18"/>
          <w:i w:val="1"/>
          <w:iCs w:val="1"/>
          <w:color w:val="auto"/>
        </w:rPr>
        <w:t>first</w:t>
      </w:r>
      <w:r>
        <w:rPr>
          <w:rFonts w:ascii="Arial" w:cs="Arial" w:eastAsia="Arial" w:hAnsi="Arial"/>
          <w:sz w:val="18"/>
          <w:szCs w:val="18"/>
          <w:color w:val="auto"/>
        </w:rPr>
        <w:t xml:space="preserve"> offer for a commercial license to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sale and distribution of ThermoDox® in the China territory.</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GEN- 1, Celsion’s proprietary gene mediated, IL- 12 immunotherapy, for the greater China territory, with the option to expand into other countries in the rest of the world after all necessary regulatory approvals are in effect. The GEN- 1 Agreement will help to support supply for both ongoing and planned clinical studies in the U.S., and for potential future studies of GEN- 1 in China. GEN- 1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980" w:right="20" w:hanging="648"/>
        <w:spacing w:after="0" w:line="277" w:lineRule="auto"/>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980" w:hanging="648"/>
        <w:spacing w:after="0"/>
        <w:tabs>
          <w:tab w:leader="none" w:pos="9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once approved, the cost structure for GEN-1 will support rapid market adoption and significant gross margins across global markets;</w:t>
      </w:r>
    </w:p>
    <w:p>
      <w:pPr>
        <w:spacing w:after="0" w:line="236" w:lineRule="exact"/>
        <w:rPr>
          <w:rFonts w:ascii="Arial" w:cs="Arial" w:eastAsia="Arial" w:hAnsi="Arial"/>
          <w:sz w:val="17"/>
          <w:szCs w:val="17"/>
          <w:b w:val="1"/>
          <w:bCs w:val="1"/>
          <w:color w:val="auto"/>
        </w:rPr>
      </w:pPr>
    </w:p>
    <w:p>
      <w:pPr>
        <w:ind w:left="980" w:hanging="648"/>
        <w:spacing w:after="0" w:line="277" w:lineRule="auto"/>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980" w:right="20" w:hanging="648"/>
        <w:spacing w:after="0" w:line="277" w:lineRule="auto"/>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CHINA FDA for site approval; and</w:t>
      </w:r>
    </w:p>
    <w:p>
      <w:pPr>
        <w:spacing w:after="0" w:line="170" w:lineRule="exact"/>
        <w:rPr>
          <w:rFonts w:ascii="Arial" w:cs="Arial" w:eastAsia="Arial" w:hAnsi="Arial"/>
          <w:sz w:val="18"/>
          <w:szCs w:val="18"/>
          <w:b w:val="1"/>
          <w:bCs w:val="1"/>
          <w:color w:val="auto"/>
        </w:rPr>
      </w:pPr>
    </w:p>
    <w:p>
      <w:pPr>
        <w:ind w:left="980" w:hanging="648"/>
        <w:spacing w:after="0" w:line="277" w:lineRule="auto"/>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CHINA FDA. A local China partner affords Celsion access to accelerated CHINA FDA review and potential regulatory exclusivity for the approved indication.</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the Company’s Annual Report on Form 10-K for the fiscal year ended December 31, 2018 filed with the SEC on March 29, 2019,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Celsion is a fully-integrated development clinical stage oncology drug company focused on advancing innovative cancer treatments, including directed chemotherapies, DNA-mediated immunotherapy and RNA based therapies. Our lead product candidate is ThermoDox®, a proprietary heat-activated liposomal encapsulation of doxorubicin, currently in a Phase III clinical trial for the treatment of primary liver cancer (the “OPTIMA Study”). Second in our pipeline is GEN-1, a DNA-mediated immunotherapy for the localized treatment of ovarian cancer. These investigational products are based on technologies that provide the platform for the future development of a range of therapeutics for difficult-to-treat forms of cancer. The first technology is Lysolipid Thermally Sensitive Liposomes, a heat sensitive liposomal based dosage form that targets disease with known chemotherapeutics in the presence of mild heat. The second technology is TheraPlas, a novel nucleic acid-based treatment for local transfection of therapeutic DNA plasmids. With these technologies we are working to develop and commercialize more efficient, effective and targeted oncology therapies that maximize efficacy while minimizing side effects common to cancer treatments.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ThermoDox® is being evaluated in a Phase III clinical trial for primary liver cancer, which we call the OPTIMA Study, which was initiated in 2014.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RFA, for newly diagnosed,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intermediate stage HCC patients. HCC incidence globally is approximately 755,000 new cases per year and is the third largest cancer indication globally. Approximately 30% of newly diagnosed patients can be addressed with RFA.</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24, 2014, we announced that the United States Food and Drug Administration (the “FDA”)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(the “HEAT Study”). The OPTIMA Study is supported by a hypothesis developed from an overall survival analysis of a large subgroup of patients from the HEAT Study.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OPTIMA Study was designed with extensive input from globally recognized HCC researchers and expert clinicians and after receiving formal written feedback from the FDA. The OPTIMA Study was designed to enroll up to 550 patients globally at approximately 65 clinical sites in the U.S., Canada, European Union (EU),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Post-hoc data analysis from our earlier Phase III HEAT Study suggest that ThermoDox®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two-year survival benefit over the optimized RFA group (projected to be greater than 80 months for the ThermoDox® plus optimized RFA group compared to less than 60 months projection for the optimized RFA only group).</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completed enrollment of 556 patients in the Phase III OPTIMA Study in August 2018. Data for the study will be reviewed as it matures up to two interim analyses expected to be conducted in the second half of 2019 and in mid-2020. We expect that the final efficacy analysis, if necessary, will be completed in the first half of 2021. If the study proves to provide a clinically meaningful improvement in overall survival, Celsion will immediately apply for marketing authorization in the US, Europe and China. ThermoDox® has received U.S. FDA Fast Track Designation and has been granted orphan drug designation for primary liver cancer in both the U.S. and the EU. Additionally, the U.S. FDA has provided ThermoDox® with a 505(b)(2) registration pathway. Subject to a successful trial, the OPTIMA Study has been designed to support registration in all key primary liver cancer markets. We fully expect to submit registrational applications in the U.S., Europe and China. We expect to submit and believes that applications will be accepted in South Korea, Taiwan and Vietnam, three other significant markets for ThermoDox® if it were to receive approval in Europe, China or the U.S.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18, 2018, we announced that the DMC for the OPTIMA Study completed its last scheduled review of all patients enrolled in the trial and unanimously recommended that the OPTIMA Study continue according to protocol to its final data readout. The DMC’s recommendation was based on the Committee’s assessment of safety and data integrity of all patients randomized in the trial as of October 4, 2018. The DMC reviewed study data at regular intervals throughout the patient enrollment period, with the primary responsibilities of ensuring the safety of all patients enrolled in the study, the quality of the data collected, and the continued scientific validity of the study design. As part of its review of all 556 patients enrolled into the trial, the DMC evaluated a quality matrix relating to the total clinical data set, confirming the timely collection of data, that all data are current as well as other data collection and quality criteria.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spacing w:after="0" w:line="297" w:lineRule="auto"/>
        <w:rPr>
          <w:sz w:val="20"/>
          <w:szCs w:val="20"/>
          <w:color w:val="auto"/>
        </w:rPr>
      </w:pPr>
      <w:r>
        <w:rPr>
          <w:rFonts w:ascii="Arial" w:cs="Arial" w:eastAsia="Arial" w:hAnsi="Arial"/>
          <w:sz w:val="16"/>
          <w:szCs w:val="16"/>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HEAT Study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31, 2013, the Company announced that the HEAT Study, ThermoDox® in combination with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PFS, in the Phase III clinical trial enrolling 701 patients with primary liver cancer. This determination was made after conferring with the HEAT Study independent DMC,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EGEN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2014, we completed the acquisition of substantially all of the assets of EGEN,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time of the acquisition, the total purchase price for the asset acquisition was up to $44.4 million, including potential future earnout payments of up to $30.4 million contingent upon achievement of certain earnout milestones set forth in the Asset Purchase Agreement. We paid approximately $3.0 million in cash after the expense adjustment and issued 241,590 shares of our common stock to EGEN. The shares of common stock were issued in a private transaction exempt from registration under the Securities Act, pursuant to Section 4 (2) thereof.</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28, 2019, the Company and EGWU, Inc, entered into an amendment to the Asset Purchase Agreement discussed in Note 8 (the “Amended Asset Purchase Agreement”). Pursuant to the Amended Asset Purchase Agreement, payment of the earnout milestone liability related to the Ovarian Cancer Indication of $12.4 million has been modified. The Company has the option to make the payment as follows:</w:t>
      </w:r>
    </w:p>
    <w:p>
      <w:pPr>
        <w:spacing w:after="0" w:line="181" w:lineRule="exact"/>
        <w:rPr>
          <w:sz w:val="20"/>
          <w:szCs w:val="20"/>
          <w:color w:val="auto"/>
        </w:rPr>
      </w:pPr>
    </w:p>
    <w:p>
      <w:pPr>
        <w:ind w:left="660" w:hanging="2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660" w:hanging="24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this amended agreement. The warrants shares have no expiration and were fair valued at $2.00 using the closing price of a share of Celsion stock on the date of issuance offset by the exercise price and recorded as a non-cash expense in the income statement and were classified as equity on the balance sheet.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indefinite-lived intangible assets and will not be amortized. IPR&amp;D is reviewed for impairment at least annually as of our third quarter ended September 30, and whenever events or changes in circumstances indicate that the carrying value of the assets might not be recoverable. On December 31, 2016, the Company determined one of its IPR&amp;D assets related to its RNA delivery system was impaired and wrote off its fair value, incurring a non-cash charge of $1.4 million during 2016. During its annual assessments on September 30, 2017 and 2018, the Company determined its IPR&amp;D asset related to its glioblastoma multiforme cancer (GBM) product candidate, originally fair valued at $9.4 million on the date of acquisition, was impaired and wrote this asset’s carrying value down to $2.4 million collectively after those two assessments, incurring non-cash charges of $2.5 million and $4.5 million during 2017 and 2018, respectively. At September 30, 2018 and 2017, the Company evaluated its IPR&amp;D of the ovarian cancer indication and concluded that it is not more likely than not that the asset is impaired. As no other indicators of impairment existed during the fourth quarter of 2018 and thus far in 2019, the Company concluded none of the other IPR&amp;D assets were impaired at December 31, 2018 and March 31, 2019. The carrying amount of the ovarian cancer indication was $13.3 million at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asset acquisition has a definitive life and is amortized on a straight-line basis over its life of 7 years. The Company recognized amortization expense of $56,829 in each of the three-month periods ended March 31, 2019 and 2018. The carrying value of the Covenant Not to Compete was $511,463, net of $1,079,751, as of March 31, 2019 and $568,292, net of $1,022,922 accumulated amortization, as of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ending on September 30 or sooner if we believe indicators of impairment exist. As of September 30, 2018, we concluded that the Company’s fair value exceeded its carrying value therefore “it is not more likely than not” that the Goodwill was impaired. As no other indicators of impairment existed during the fourth quarter of 2018 and thus far in 2019, the Company concluded it is “not more likely than not” Goodwill was impaired.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OVATION Study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2015, we announced that the FDA accepted, without objection, the Phase Ib dose-escalation clinical trial of GEN-1 in combination with the standard of care in neo-adjuvant ovarian cancer (the “OVATION Study”). On September 30, 2015, we announced enrollment of the first patient in the OVATION Study. The OVATION Study was designed (i) to identify a safe, tolerable and potentially therapeutically active dose of GEN-1 by recruiting and maximizing an immune response and (ii) to enroll three to six patients per dose level to evaluate safety and efficacy and attempt to define an optimal dose for a follow-on Phase II study. In addition, the OVATION Study establishes a unique opportunity to assess how cytokine-based compounds such as GEN-1 directly affect ovarian cancer cells and the tumor microenvironment in newly diagnosed patients. The study was designed to characterize the nature of the immune response triggered by GEN-1 at various levels of the patients’ immune system, including:</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 On October 3, 2017 and again on March 2, 2109, we announced final clinical and translational research data from the OVATION Study, a Phase Ib dose escalating clinical trial combining GEN-1 with the standard of care for the treatment of newly-diagnosed patients with advanced Stage III/IV ovarian cancer who will undergo neoadjuvant chemotherapy followed by interval debulking surgery.</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reported positive clinical data from the first fourteen patients who have completed treatment in the OVATION Study. GEN-1 plus standard chemotherapy produced positive clinical results, with no dose limiting toxicities and positive dose dependent efficacy signals which correlate well with</w:t>
      </w:r>
    </w:p>
    <w:p>
      <w:pPr>
        <w:jc w:val="both"/>
        <w:spacing w:after="0" w:line="217" w:lineRule="auto"/>
        <w:rPr>
          <w:sz w:val="20"/>
          <w:szCs w:val="20"/>
          <w:color w:val="auto"/>
        </w:rPr>
      </w:pPr>
      <w:r>
        <w:rPr>
          <w:rFonts w:ascii="Arial" w:cs="Arial" w:eastAsia="Arial" w:hAnsi="Arial"/>
          <w:sz w:val="18"/>
          <w:szCs w:val="18"/>
          <w:color w:val="auto"/>
        </w:rPr>
        <w:t>positive surgical outcomes. The OVATION Study evaluated escalating doses of GEN-1 (36 mg/m</w:t>
      </w:r>
      <w:r>
        <w:rPr>
          <w:rFonts w:ascii="Arial" w:cs="Arial" w:eastAsia="Arial" w:hAnsi="Arial"/>
          <w:sz w:val="30"/>
          <w:szCs w:val="30"/>
          <w:color w:val="auto"/>
          <w:vertAlign w:val="superscript"/>
        </w:rPr>
        <w:t>2</w:t>
      </w:r>
      <w:r>
        <w:rPr>
          <w:rFonts w:ascii="Arial" w:cs="Arial" w:eastAsia="Arial" w:hAnsi="Arial"/>
          <w:sz w:val="18"/>
          <w:szCs w:val="18"/>
          <w:color w:val="auto"/>
        </w:rPr>
        <w:t>, 47 mg/m</w:t>
      </w:r>
      <w:r>
        <w:rPr>
          <w:rFonts w:ascii="Arial" w:cs="Arial" w:eastAsia="Arial" w:hAnsi="Arial"/>
          <w:sz w:val="30"/>
          <w:szCs w:val="30"/>
          <w:color w:val="auto"/>
          <w:vertAlign w:val="superscript"/>
        </w:rPr>
        <w:t>2</w:t>
      </w:r>
      <w:r>
        <w:rPr>
          <w:rFonts w:ascii="Arial" w:cs="Arial" w:eastAsia="Arial" w:hAnsi="Arial"/>
          <w:sz w:val="18"/>
          <w:szCs w:val="18"/>
          <w:color w:val="auto"/>
        </w:rPr>
        <w:t>, 61 mg/m</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and 79 mg/m</w:t>
      </w:r>
      <w:r>
        <w:rPr>
          <w:rFonts w:ascii="Arial" w:cs="Arial" w:eastAsia="Arial" w:hAnsi="Arial"/>
          <w:sz w:val="30"/>
          <w:szCs w:val="30"/>
          <w:color w:val="auto"/>
          <w:vertAlign w:val="superscript"/>
        </w:rPr>
        <w:t>2</w:t>
      </w:r>
      <w:r>
        <w:rPr>
          <w:rFonts w:ascii="Arial" w:cs="Arial" w:eastAsia="Arial" w:hAnsi="Arial"/>
          <w:sz w:val="18"/>
          <w:szCs w:val="18"/>
          <w:color w:val="auto"/>
        </w:rPr>
        <w:t>) administered intraperitoneally in combination with three cycles of neoadjuvant chemotherapy prior to interval debulking surgery, followed by three cycles of NAC in the treatment of newly diagnosed patients with Stage III/IV ovarian cancer.</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Phase IB dose-escalation study, the 14 patients who were evaluable for response demonstrated median PFS of 21 months in patients treated per protocol and 17.1 months for the intent-to-treat population (n=18) for all dose cohorts, including three patients who dropped out of the study after 13 days or less, and two patients who did not receive full NAC and GEN-1 cycles. In addition, 100% of patients administered NAC plus the two higher doses of GEN-1 experienced an objective tumor response (defined as a partial or complete response) compared to only 60% of patients given the two lower doses. Pathological changes were assessed as part of the study, with the density of markers measured in tissue sections assessed via immunohistochemistry staining. Dose-limiting toxicity was not reached in the OVATION I Study.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OVATION 2 Study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2017, the Company filed its Phase I/II clinical trial protocol with the U.S. Food and Drug Administration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130 patient randomized Phase II study. The study protocol is summarized below:</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Open label, 1:1 randomized design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Enrollment up to 130 patients with Stage III/IV ovarian cancer patients at ten U.S. centers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Primary endpoint of improvement in progression-free survival (PFS) comparing GEN-1 with neoadjuvant chemotherapy versus neoadjuvant chemotherapy alone.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both"/>
        <w:spacing w:after="0" w:line="270" w:lineRule="auto"/>
        <w:rPr>
          <w:sz w:val="20"/>
          <w:szCs w:val="20"/>
          <w:color w:val="auto"/>
        </w:rPr>
      </w:pPr>
      <w:r>
        <w:rPr>
          <w:rFonts w:ascii="Arial" w:cs="Arial" w:eastAsia="Arial" w:hAnsi="Arial"/>
          <w:sz w:val="17"/>
          <w:szCs w:val="17"/>
          <w:color w:val="auto"/>
        </w:rPr>
        <w:t>Because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TheraPlas Technology Platform. </w:t>
      </w:r>
      <w:r>
        <w:rPr>
          <w:rFonts w:ascii="Arial" w:cs="Arial" w:eastAsia="Arial" w:hAnsi="Arial"/>
          <w:sz w:val="17"/>
          <w:szCs w:val="17"/>
          <w:color w:val="auto"/>
        </w:rPr>
        <w:t>TheraPlas is a technology platform for the delivery of DNA and messenger RNA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Technology Development and Licensing Agreements. </w:t>
      </w:r>
      <w:r>
        <w:rPr>
          <w:rFonts w:ascii="Arial" w:cs="Arial" w:eastAsia="Arial" w:hAnsi="Arial"/>
          <w:sz w:val="18"/>
          <w:szCs w:val="18"/>
          <w:color w:val="auto"/>
        </w:rPr>
        <w:t>Our current efforts and resources are applied on the development and commercialization of cancer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drugs including tumor-targeting chemotherapy treatments using focused heat energy in combination with heat-activated drug delivery systems, immunotherapies and RNA-based therapies.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8, 2016, we signed the GEN-1 Agreement with Hisun to pursue an expanded partnership for the technology transfer relating to the clinical and commercial manufacture and supply of GEN-1, Celsion’s proprietary gene mediated, IL-12 immunotherapy, for the China territory, with the option to expand into other countries in the rest of the world after all necessary regulatory approvals are obtained. The GEN-1 Agreement will help to support supply for both ongoing and planned clinical studies in the U.S. and for potential future studies of GEN-1 in China. GEN-1 is currently being evaluated by Celsion in first line ovarian cancer patients.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Celsion and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II, Item 1A. Risk Factors” in this Quarterly Report on Form 10-Q.</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FDA. We have not generated significant revenue and have incurred significant net losses in each year since our inception. As of March 31, 2019, we have incurred approximately $276 million of cumulative net losses. As of March 31, 2019, we had approximately $23.8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both"/>
        <w:spacing w:after="0" w:line="273"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840" w:hanging="64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840" w:hanging="64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840" w:hanging="64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840" w:hanging="64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840" w:hanging="64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840" w:hanging="643"/>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840" w:hanging="64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840" w:hanging="64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840" w:hanging="64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$23.8 million in cash, investment securities and interest receivable at March 31, 2019 coupled with future sales of the Company’s NJ NOL’s, the Company believes it has sufficient capital resources to fund its operations into the fourth quarter of 2020. The Company will be required to obtain additional funding to continue development of its current product candidates within the anticipated time periods, if at all, and to continue to fund operations. As more fully discussed in Note 11, the Company has approximately $28.6 million available collectively for future sale of equity securities under a common stock purchase agreement with Aspire Capital Fund, LLC and a common stock sales agreement with JonesTrading International Services LLC as of March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and thus far in 2019, we entered into a $10 million loan facility and we issued a total of 0.8 million shares of common stock in the following equity transactions for an aggregate $1.8 million in gross proceeds.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left="643" w:hanging="643"/>
        <w:spacing w:after="0" w:line="255" w:lineRule="auto"/>
        <w:tabs>
          <w:tab w:leader="none" w:pos="6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June 27, 2018, the Company entered into the Horizon Credit Agreement with Horizon that provided $10 million in new capital. The Company drew down $10 million upon closing of the Horizon Credit Agreement on June 27, 2018. The Company anticipates that it will use the funding provided under the Horizon Credit Agreement for working capital and advancement of its product pipeline. The obligations under the Horizon Credit Agreement are secured by a first-priority security interest in substantially all assets of Celsion other than intellectual property assets. The obligations will bear interest at a rate calculated based on one-month LIBOR plus 7.625%. Payments under the loan agreement are interest only for the first twenty-four (24) months after loan closing, followed by a 24-month amortization period of principal and interest through the scheduled maturity date.</w:t>
      </w:r>
    </w:p>
    <w:p>
      <w:pPr>
        <w:spacing w:after="0" w:line="189" w:lineRule="exact"/>
        <w:rPr>
          <w:rFonts w:ascii="Arial" w:cs="Arial" w:eastAsia="Arial" w:hAnsi="Arial"/>
          <w:sz w:val="18"/>
          <w:szCs w:val="18"/>
          <w:color w:val="auto"/>
        </w:rPr>
      </w:pPr>
    </w:p>
    <w:p>
      <w:pPr>
        <w:jc w:val="both"/>
        <w:ind w:left="643" w:hanging="643"/>
        <w:spacing w:after="0" w:line="268" w:lineRule="auto"/>
        <w:tabs>
          <w:tab w:leader="none" w:pos="643"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August 31, 2018, the Company entered into the Aspire Purchase Agreement with Aspire Capital Fund which provides that, upon the terms and subject to the conditions and limitations set forth therein, Aspire Capital is committed to purchase up to an aggregate of $15.0 million of shares of the Company’s common stock over the 24-month term of the Aspire Purchase Agreement. On October 12, 2018, the Company filed with the SEC a prospectus supplement to the 2018 Shelf Registration Statement registering all of the shares of common stock that may be offered to Aspire Capital from time to time.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 rights of first refusal, participation rights, penalties or liquidated damages in the Purchase Agreement. In consideration for entering into the Purchase Agreement, concurrently with the execution of the Purchase Agreement, the Company issued to Aspire Capital 164,835 Commitment Shares. The Aspire Purchase Agreement may be terminated by the Company at any time, at its discretion, without any cost to the Company. Any proceeds from the Company receives under the Aspire Purchase Agreement are expected to be used for working capital and general corporate purposes. During 2018 and as of March 31, 2019, the Company sold and issued an aggregate of 964,835 shares under the Purchase Agreement, receiving approximately $2.1 million.</w:t>
      </w:r>
    </w:p>
    <w:p>
      <w:pPr>
        <w:spacing w:after="0" w:line="187" w:lineRule="exact"/>
        <w:rPr>
          <w:rFonts w:ascii="Arial" w:cs="Arial" w:eastAsia="Arial" w:hAnsi="Arial"/>
          <w:sz w:val="17"/>
          <w:szCs w:val="17"/>
          <w:color w:val="auto"/>
        </w:rPr>
      </w:pPr>
    </w:p>
    <w:p>
      <w:pPr>
        <w:jc w:val="both"/>
        <w:ind w:left="643" w:hanging="643"/>
        <w:spacing w:after="0" w:line="276" w:lineRule="auto"/>
        <w:tabs>
          <w:tab w:leader="none" w:pos="643"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October 29, 2018, the Company and certain investors holding warrants to purchase 1.6 million shares collectively of the Company’s common stock received in the February 27, 2017 Public Offering and the October 2017 Underwritten Offering, entered into warrant exchange agreements whereby the Company issued 820,714 shares collectively of common stock to these investors in exchange for the warrants. After the warrant exchange, warrants outstanding totaled 1.6 million with a weighted average exercise price of $5.75 per share. Approximately 1.2 million of these outstanding warrants with a strike price of $6.20 per share will expire on April 4, 2019.</w:t>
      </w:r>
    </w:p>
    <w:p>
      <w:pPr>
        <w:spacing w:after="0" w:line="176" w:lineRule="exact"/>
        <w:rPr>
          <w:rFonts w:ascii="Arial" w:cs="Arial" w:eastAsia="Arial" w:hAnsi="Arial"/>
          <w:sz w:val="17"/>
          <w:szCs w:val="17"/>
          <w:color w:val="auto"/>
        </w:rPr>
      </w:pPr>
    </w:p>
    <w:p>
      <w:pPr>
        <w:jc w:val="both"/>
        <w:ind w:left="643" w:hanging="643"/>
        <w:spacing w:after="0" w:line="253" w:lineRule="auto"/>
        <w:tabs>
          <w:tab w:leader="none" w:pos="643" w:val="left"/>
        </w:tabs>
        <w:numPr>
          <w:ilvl w:val="0"/>
          <w:numId w:val="14"/>
        </w:numPr>
        <w:rPr>
          <w:rFonts w:ascii="Arial" w:cs="Arial" w:eastAsia="Arial" w:hAnsi="Arial"/>
          <w:sz w:val="34"/>
          <w:szCs w:val="34"/>
          <w:color w:val="auto"/>
          <w:vertAlign w:val="superscript"/>
        </w:rPr>
      </w:pPr>
      <w:r>
        <w:rPr>
          <w:rFonts w:ascii="Arial" w:cs="Arial" w:eastAsia="Arial" w:hAnsi="Arial"/>
          <w:sz w:val="17"/>
          <w:szCs w:val="17"/>
          <w:color w:val="auto"/>
        </w:rPr>
        <w:t>On December 4, 2018, the Company entered into a new Capital on Demand</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Sales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 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the Company’s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 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 During 2018 and as of March 31, 2019, the Company sold and issued an aggregate of 122,186 shares under the Capital on Demand Agreement, receiving approximately $0.3 million.</w:t>
      </w:r>
    </w:p>
    <w:p>
      <w:pPr>
        <w:spacing w:after="0" w:line="197"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3"/>
          </w:cols>
          <w:pgMar w:left="437"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2018 Annual Report on Form 10-K for the year ended December 31, 2018 filed with the SEC on March 29, 2019.</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 Topic 842 (ASC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became effective for fiscal years beginning after December 15, 2018, including interim reporting periods within that reporting period. The FASB subsequently issued the following amendments to ASC Topic 842, which have the same effective date and transition date of January 1, 2019:</w:t>
      </w:r>
    </w:p>
    <w:p>
      <w:pPr>
        <w:spacing w:after="0" w:line="178"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amends certain narrow aspects of the guidance issued in ASU 2016-02;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ASU No.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Topic ASC 842 effective January 1, 2019 and elected to apply the available practical expedients and implement internal controls to enable the preparation of financial information on adoption. We have identified all of our leases which consist of the New Jersey corporate office lease and the Alabama lab facility lease and we estimate the adoption of this standard will result in the recognition of right-of-use assets of approximately $1.4, related operating lease liabilities of $1.5 million and reduced other liabilities by approximately $0.1 million on the consolidated balance sheets as of January 1, 2019 of approximately $1.5 million related to our operating lease commitments, with no material impact to the opening balance of retained earnings. See Note 15 for further discussions regarding the adoption of ASC Topic 842.</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SEC issued a final rule to simplify certain disclosure requirements. In addition, the amendments expanded the disclosure requirements on the analysis of stockholders’ equity for interim financial statements. In August and September 2018, further amendments were issued to provide implementation guidance on adoption of the SEC rule and transition guidance for the new interim stockholders’ equity disclosure. We adopted this amended guidance in the first quarter of 2019. The adoption of this amended guidance resulted in us disclosing the Condensed Consolidated Statements of Changes in Stockholders’ Equity for the three months ending March 31, 2019 and 2018.</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Material risks and uncertainties relating to our business and our industry are described in “Item 1A. Risk Factors” under “Part II: Other Information” included herein. As a clinical stage biopharmaceutical company, our business and our ability to execute our strategy to achieve our corporate goals are subject to numerous risks and uncertainties. Please refer to Note 3 of the Financial Statements contained in this Form 10-Q. Also refer to </w:t>
      </w:r>
      <w:r>
        <w:rPr>
          <w:rFonts w:ascii="Arial" w:cs="Arial" w:eastAsia="Arial" w:hAnsi="Arial"/>
          <w:sz w:val="18"/>
          <w:szCs w:val="18"/>
          <w:b w:val="1"/>
          <w:bCs w:val="1"/>
          <w:color w:val="auto"/>
        </w:rPr>
        <w:t>Item IA, Risk Factors</w:t>
      </w:r>
      <w:r>
        <w:rPr>
          <w:rFonts w:ascii="Arial" w:cs="Arial" w:eastAsia="Arial" w:hAnsi="Arial"/>
          <w:sz w:val="18"/>
          <w:szCs w:val="18"/>
          <w:color w:val="auto"/>
        </w:rPr>
        <w:t>, including, but not limited to</w:t>
      </w:r>
      <w:r>
        <w:rPr>
          <w:rFonts w:ascii="Arial" w:cs="Arial" w:eastAsia="Arial" w:hAnsi="Arial"/>
          <w:sz w:val="18"/>
          <w:szCs w:val="18"/>
          <w:i w:val="1"/>
          <w:iCs w:val="1"/>
          <w:color w:val="auto"/>
        </w:rPr>
        <w:t>, “We will need to raise substantial additional capital to fund our planned future operations, and we may be unable to secure such</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without dilutive financing transactions. If we are not able to raise additional capital, we may not be able to complete the development, testing and commercialization of our product candidates.”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FINANCIAL REVIEW FOR THE 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2019, our net loss was $2.4 million compared to a net loss of $4.5 million for the same period of 2018. With $23.8 million in cash and investments on hand at March 31, 2019, the Company believes it has sufficient capital resources to fund its operations into the fourth quarter of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Three Months Ended March 31,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gridSpan w:val="3"/>
          </w:tcPr>
          <w:p>
            <w:pPr>
              <w:jc w:val="center"/>
              <w:ind w:left="250"/>
              <w:spacing w:after="0" w:line="198" w:lineRule="exact"/>
              <w:rPr>
                <w:sz w:val="20"/>
                <w:szCs w:val="20"/>
                <w:color w:val="auto"/>
              </w:rPr>
            </w:pPr>
            <w:r>
              <w:rPr>
                <w:rFonts w:ascii="Arial" w:cs="Arial" w:eastAsia="Arial" w:hAnsi="Arial"/>
                <w:sz w:val="18"/>
                <w:szCs w:val="18"/>
                <w:b w:val="1"/>
                <w:bCs w:val="1"/>
                <w:color w:val="auto"/>
                <w:w w:val="87"/>
              </w:rPr>
              <w:t>Change</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w w:val="95"/>
              </w:rPr>
              <w:t>(In thousands)</w:t>
            </w:r>
          </w:p>
        </w:tc>
        <w:tc>
          <w:tcPr>
            <w:tcW w:w="420" w:type="dxa"/>
            <w:vAlign w:val="bottom"/>
          </w:tcPr>
          <w:p>
            <w:pPr>
              <w:spacing w:after="0"/>
              <w:rPr>
                <w:sz w:val="20"/>
                <w:szCs w:val="20"/>
                <w:color w:val="auto"/>
              </w:rPr>
            </w:pPr>
          </w:p>
        </w:tc>
        <w:tc>
          <w:tcPr>
            <w:tcW w:w="18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88"/>
              </w:rPr>
              <w:t>Increase (Decrease)</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88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8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1,884</w:t>
            </w:r>
          </w:p>
        </w:tc>
        <w:tc>
          <w:tcPr>
            <w:tcW w:w="4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8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857</w:t>
            </w:r>
          </w:p>
        </w:tc>
        <w:tc>
          <w:tcPr>
            <w:tcW w:w="4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5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Research and development expenses</w:t>
            </w:r>
          </w:p>
        </w:tc>
        <w:tc>
          <w:tcPr>
            <w:tcW w:w="8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2,768</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2,741</w:t>
            </w:r>
          </w:p>
        </w:tc>
        <w:tc>
          <w:tcPr>
            <w:tcW w:w="3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w:t>
            </w:r>
          </w:p>
        </w:tc>
        <w:tc>
          <w:tcPr>
            <w:tcW w:w="3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1,665</w:t>
            </w:r>
          </w:p>
        </w:tc>
        <w:tc>
          <w:tcPr>
            <w:tcW w:w="4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553</w:t>
            </w:r>
          </w:p>
        </w:tc>
        <w:tc>
          <w:tcPr>
            <w:tcW w:w="5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8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4,986</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4,406</w:t>
            </w:r>
          </w:p>
        </w:tc>
        <w:tc>
          <w:tcPr>
            <w:tcW w:w="3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580</w:t>
            </w:r>
          </w:p>
        </w:tc>
        <w:tc>
          <w:tcPr>
            <w:tcW w:w="340" w:type="dxa"/>
            <w:vAlign w:val="bottom"/>
            <w:tcBorders>
              <w:top w:val="single" w:sz="8" w:color="CCEEFF"/>
              <w:bottom w:val="single" w:sz="8" w:color="CCEEFF"/>
            </w:tcBorders>
          </w:tcPr>
          <w:p>
            <w:pPr>
              <w:spacing w:after="0"/>
              <w:rPr>
                <w:sz w:val="18"/>
                <w:szCs w:val="18"/>
                <w:color w:val="auto"/>
              </w:rPr>
            </w:pPr>
          </w:p>
        </w:tc>
        <w:tc>
          <w:tcPr>
            <w:tcW w:w="58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(4,861</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spacing w:after="0" w:line="230" w:lineRule="exact"/>
              <w:rPr>
                <w:sz w:val="20"/>
                <w:szCs w:val="20"/>
                <w:color w:val="auto"/>
              </w:rPr>
            </w:pPr>
            <w:r>
              <w:rPr>
                <w:rFonts w:ascii="Arial" w:cs="Arial" w:eastAsia="Arial" w:hAnsi="Arial"/>
                <w:sz w:val="15"/>
                <w:szCs w:val="15"/>
                <w:color w:val="auto"/>
              </w:rPr>
              <w:t>13.5</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each of the first quarters of 2019 and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(“R&amp;D”) expenses increased by $0.1 million to $2.8 million in the first quarter of 2019 from $2.7 million in the same period of 2018. Costs associated with the OPTIMA Study decreased by $0.4 million to $0.9 million in the first quarter of 2019 compared to $1.3 million in the same period of 2018. This decrease is mostly attributable to lower investigator grant fees in the first quarter of 2019. Enrollment for the OPTIMA Study was completed during the third quarter of 2018. Costs associated the OVATION 2 Study of $0.1 million in the first quarter of 2019 were consistent with the same period of 2018. Regulatory costs were $0.2 million in the first quarter of 2019 compared to $0.1 million in the same period of 2018. Other clinical costs increased by $0.1 million to $0.6 million in the first quarter of 2019 compared to $0.5 million in the same period of 2018. This increase is attributable to an increase in personnel costs during the first quarter of 2019 compared to the same period of 2018. Costs associated with the production and of ThermoDox® were $0.3 million in each of the first quarters of 2019 and 2018. R&amp;D costs associated with the development of GEN-1 to support the OVATION Studies remained relatively unchanged at $0.6 million in each of the first quarters of 2019 and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(“G&amp;A”) expenses increased to $2.2 million in the first quarter of 2019 compared to $1.7 million in the same period of 2018. This increase is mostly attributable to an increase in personnel costs of approximately $0.2 million coupled with a $0.3 million in non-cash stock compensation expense in the first quarter of 2019 compared to the same period of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28, 2019, the Company and EGWU, Inc, entered into an amendment to the Asset Purchase Agreement discussed in Note 8. Pursuant to the Amended Asset Purchase Agreement, payment of the earnout milestone liability related to the Ovarian Cancer Indication of $12.4 million has been modified. The Company has the option to make the payment as follows:</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the amended agreement. These warrants shares have no expiration and were fair valued at $2.00 using the closing price of a share of Celsion stock on the date of issuance offset by the exercise price and recorded as an expense in the income statement and were classified as equity on the balance sheet.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2018, the Company fair valued the earn-out milestone liability at $8.9 million. At March 31, 2019, the Company fair valued the earnout milestone liability at $5.8 million and recognized a non-cash benefit of $3.1 million during the three months ended March 31, 2019 as a result of the change in fair value of the earnout milestone liability at December 31, 2019. In assessing the earnout milestone liability at March 31, 2019, the Company the fair valued each of the two payment options per the Amended Asset Purchase Agreement and weighted them at 80% and 20% probability for the $7.0 million and the $12.4 million payments,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and December 31, 2017, the Company fair valued these milestones at $12.8 million and $12.5 million, respectively, and recognized a non-cash charge of $270,195 during the three months ended March 31, 2018 as a result of the change in the fair value of these milestones from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realized $0.1 million of interest income from its short-term investments during each of the first quarters of 2019 and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entered into a new loan facility with Horizon Technology Finance Corporation on June 27, 2018. In connection with this debt facility the Company incurred $0.3 million in interest expense in the first quarter of 2019. The Company did not incur any interest expense during the same period of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w:t>
      </w:r>
    </w:p>
    <w:p>
      <w:pPr>
        <w:jc w:val="both"/>
        <w:spacing w:after="0" w:line="239" w:lineRule="auto"/>
        <w:rPr>
          <w:sz w:val="20"/>
          <w:szCs w:val="20"/>
          <w:color w:val="auto"/>
        </w:rPr>
      </w:pPr>
      <w:r>
        <w:rPr>
          <w:rFonts w:ascii="Arial" w:cs="Arial" w:eastAsia="Arial" w:hAnsi="Arial"/>
          <w:sz w:val="17"/>
          <w:szCs w:val="17"/>
          <w:color w:val="auto"/>
        </w:rPr>
        <w:t>agreement with Hisun. The process of developing and commercializing ThermoDox</w:t>
      </w:r>
      <w:r>
        <w:rPr>
          <w:rFonts w:ascii="Arial" w:cs="Arial" w:eastAsia="Arial" w:hAnsi="Arial"/>
          <w:sz w:val="28"/>
          <w:szCs w:val="28"/>
          <w:color w:val="auto"/>
          <w:vertAlign w:val="superscript"/>
        </w:rPr>
        <w:t>®</w:t>
      </w:r>
      <w:r>
        <w:rPr>
          <w:rFonts w:ascii="Arial" w:cs="Arial" w:eastAsia="Arial" w:hAnsi="Arial"/>
          <w:sz w:val="17"/>
          <w:szCs w:val="17"/>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$276 million at March 31, 2019.</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At March 31, 2019 we had total current assets of $24.9 million (including cash, cash equivalents and short-term investments and related interest receivable on short-term investments of $23.8 million) and current liabilities of $5.9 million, resulting in net working capital of $19.0 million. At December 31, 2018 we had total current assets of $28.1 million (including cash, cash equivalents and short-term investments and related interest receivable on short-term investments of $27.7 million) and current liabilities of $6.1 million, resulting in net working capital of $22.0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for the first three months of 2019 was $5.5 million. Net cash used in investing activities was $6.0 million during the first three months of 2019 as the Company invested liquid funds into short-term investments. Net cash provided by financing activities was $1.8 million during the first three months of 2019 net proceeds received through the sale of our common stock through the sale of equity under common stock purchase and sales facilities with Aspire Capital Fund, LLC. and JonesTrading International, LLC.</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to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2019,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implemented technology, processes and controls related to the recording of right-of-use assets and lease liabilities in connection with the adoption of ASC 842, “Leases,” as described in the “Leases and Commitments” note of the financial statements. Otherwise, 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is a summary of the risk factors, uncertainties and assumptions that we believe are most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Securities Exchange Act of 1934, as amended and Section 27A of the Securities Act of 1933, as amended.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2018 filed on March 29, 2019 with the SEC. In assessing these risks, investors should also refer to the other information contained or incorporated by reference in this Quarterly Report and our other filings made from time to time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$276 million at March 31, 2019. For the year ended December 31, 2018 and the three months ended March 31, 2019, we incurred a net loss of $11.9 million, and $2.4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United States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 its primary endpoint in our earlier Phase III clinical trial.</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I/II dose escalating trial evaluating GEN-1, known as the OVATION II Study, in ovarian cancer patients.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not generated significant revenue and have incurred significant net losses in each year since our inception. For the year ended December 31, 2018 and the three months ended March 31, 2019, we incurred a net loss of $11.9 million, and $2.4 million, respectively. We have incurred approximately $276 million of cumulative net losses. As of March 31, 2019, we had approximately $23.8 million in cash and short-term investments including interest receivable.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and other preclinical studies. We completed a Phase I dose-escalation clinical trial of GEN-1 in combination with the standard of care in neo-adjuvant ovarian cancer in the third quarter of 2017 and expanded our clinical development program for GEN-1 into a follow-on Phase I/II trial for newly diagnosed ovarian cancer in 2018.</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United States, given that we may be subject to additional or different regulatory burdens in other markets. This could limit our ability to realize their full market potential.</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1"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preclinical test or clinical trial may fail to produce safety and efficacy results satisfactory to the FDA or comparable foreign regulatory authorities;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investigational new drug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spacing w:after="0" w:line="261" w:lineRule="auto"/>
        <w:rPr>
          <w:sz w:val="20"/>
          <w:szCs w:val="20"/>
          <w:color w:val="auto"/>
        </w:rPr>
      </w:pPr>
      <w:r>
        <w:rPr>
          <w:rFonts w:ascii="Arial" w:cs="Arial" w:eastAsia="Arial" w:hAnsi="Arial"/>
          <w:sz w:val="18"/>
          <w:szCs w:val="18"/>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our product candidates initially show promise in these early clinical trials, the side effects of drugs are frequently only detectable after they are tested in large, Phase 3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GEN-1 is currently in an early stage of clinical development for the treatment of ovarian cancer. We conducted a Phase I dose-escalation clinical trial of GEN-1 in combination with the standard of care in neo-adjuvant ovarian cancer starting in the second half of 2015 and completing enrollment in 2017. We also expanded our ovarian cancer development program to include a Phase I/II dose escalating trial evaluating GEN-1 in ovarian cancer patients. Our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Strategic transactions, such as acquisitions, partnerships and collaborations, including the EGEN asset acquisition, involve numerous risks, including:</w:t>
      </w:r>
    </w:p>
    <w:p>
      <w:pPr>
        <w:spacing w:after="0" w:line="23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asset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asset acquisition or potential future transactions.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jc w:val="both"/>
        <w:spacing w:after="0" w:line="270"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color w:val="auto"/>
        </w:rPr>
        <w:t>ClinicalTrials.gov</w:t>
      </w:r>
      <w:r>
        <w:rPr>
          <w:rFonts w:ascii="Arial" w:cs="Arial" w:eastAsia="Arial" w:hAnsi="Arial"/>
          <w:sz w:val="17"/>
          <w:szCs w:val="17"/>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 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have obtained Orphan Drug Designation for ThermoDox® and may seek Orphan Drug Designation for other product candidates, but we may be unsuccessful or may be unable to maintain the benefits associated with Orphan Drug Designation, including the potential for market exclusivity.</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has been granted orphan drug designation for primary liver cancer in both the U.S. and Europe. As part of our business strategy, we may seek Orphan Drug Designation for other product candidates, but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 though we have obtained Orphan Drug Designation for ThermoDox® and may obtain such designation for other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other product candidates, we may never receive such designations.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ThermoDox® has received U.S. FDA Fast Track Designation.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several years to limit the growth of healthcare costs, including price regulation, competitive pricing, coverage and payment policies, comparative effectiveness of therapies, technology assessments and managed-care arrangements. For example, the Affordable Care Act, passed in 2010,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Further, the 2016 Presidential and Congressional elections and subsequent developments have caused the future state of many core aspects of the current health care marketplace to be uncertain, as the new Presidential Administration and Congress have repeatedly expressed a desire to repeal all or portions of the Affordable Care Act.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Since its enactment, some of the provisions of the ACA have yet to be fully implemented, while certain provisions have been subject to judicial, congressional, and executive challenges. As a result, there have been delays in the implementation of, and action taken to repeal or replace, certain aspects of the ACA. The U.S. Supreme Court has upheld certain key aspects of the legislation, including a tax-based shared responsibility payment imposed on certain individuals who fail to maintain qualifying health coverage for all or part of a year, which is commonly known as the requirement that all individuals maintain health insurance coverage or pay a penalty, referred to as the “individual mandate.” However, as a result of tax reform legislation passed in December 2017, the individual mandate has been eliminated effective January 1, 2019. According to the Congressional Budget Office, the repeal of the individual mandate will cause 13 million fewer Americans to be insured in 2027 and premiums in insurance markets may rise.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reloxaliase and any other product candidates that we may successfully develop and for which we may obtain regulatory approval and may affect our overall financial condition and ability to develop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we conduct clinical trials in the European Economic Area (“EEA”), we are subject to additional European data-privacy laws. The General Data Protection Regulation, (EU) 2016/679 (“GDPR”) became effective on May 25, 2018 and deals with the processing of personal data and on the free movement of such data.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particular,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Further, the impact of the impending “Brexit”, (whereby the United Kingdom is planning to leave the EEA in March of 2019), either with or without a “deal” is uncertain and cannot be predicted at this time.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we continue to conduct clinical trials in the EEA, we must also ensure that we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Anype1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For example, Congress passed the Affordable Care Act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Several of our current clinical trials are being conducted outside the United States, and the FDA may not accept data from trials conducted in foreign locations.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Several of our current clinical trials are being conducted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our development of our product candidates.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jc w:val="both"/>
        <w:ind w:right="20"/>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asset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asset acquisition, and on our ability to attract additional personnel as we seek to implement our business strategy and develop our product candidates and businesses. Our operations associated with the EGEN asset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$3.48 and a low price of $1.35 in the 52-week period ended December 31, 2018, and a high price of $2.46 and a low price of $1.67 from January 1, 2019 through May 14, 2019. Among the factors that may cause the market price of our common stock to fluctuate are the risks described in this “Risk Factors” section and other factors, including:</w:t>
      </w:r>
    </w:p>
    <w:p>
      <w:pPr>
        <w:spacing w:after="0" w:line="179" w:lineRule="exact"/>
        <w:rPr>
          <w:sz w:val="20"/>
          <w:szCs w:val="20"/>
          <w:color w:val="auto"/>
        </w:rPr>
      </w:pPr>
    </w:p>
    <w:p>
      <w:pPr>
        <w:ind w:left="5640" w:right="3940" w:hanging="5308"/>
        <w:spacing w:after="0" w:line="528" w:lineRule="auto"/>
        <w:tabs>
          <w:tab w:leader="none" w:pos="6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ind w:left="328" w:hanging="328"/>
        <w:spacing w:after="0"/>
        <w:tabs>
          <w:tab w:leader="none" w:pos="3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and regulations applicable to our product candidates;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acquisitions and financings, including the EGEN asset acquisition;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665" w:right="239" w:bottom="1440" w:gutter="0" w:footer="0" w:header="0"/>
        </w:sectPr>
      </w:pPr>
    </w:p>
    <w:bookmarkStart w:id="57" w:name="page58"/>
    <w:bookmarkEnd w:id="57"/>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May 14, 2019, we had 20,482,720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asset acquisition. Our stockholders may experience significant dilution as a result of future equity offerings or issuances. Investors purchasing shares or other securities in the future could have rights superior to existing stockholders. As of May 14, 2019, we have a significant number of securities convertible into, or allowing the purchase of, our common stock, including 626,912 shares of common stock issuable upon exercise of warrants outstanding, 3,964,892 options to purchase shares of our common stock and restricted stock awards outstanding, and 880,007 shares of common stock reserved for future issuance under our stock incentive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2018, 2017 and years prior, we performed analyses to determine if there were changes in ownership, as defined by Section 382 of the Internal Revenue Code that would limit our ability to utilize certain net operating loss and tax credit carry forwards. We determined we experienced ownership changes, as defined by Section 382, in connection with certain common stock offerings in 2011, 2013, 2015, 2017 and 2018.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61">
        <w:r>
          <w:rPr>
            <w:rFonts w:ascii="Arial" w:cs="Arial" w:eastAsia="Arial" w:hAnsi="Arial"/>
            <w:sz w:val="18"/>
            <w:szCs w:val="18"/>
            <w:u w:val="single" w:color="auto"/>
            <w:color w:val="0000EE"/>
          </w:rPr>
          <w:t>Amendment to Asset Purchase Agreement between Celsion Corporation and EGWU, Inc., dated March 28, 2019 incorporated herein by reference</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to Exhibit 10.1 to the Current Report on Form 8-K of the Company filed on April 1, 2019.</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62">
        <w:r>
          <w:rPr>
            <w:rFonts w:ascii="Arial" w:cs="Arial" w:eastAsia="Arial" w:hAnsi="Arial"/>
            <w:sz w:val="16"/>
            <w:szCs w:val="16"/>
            <w:u w:val="single" w:color="auto"/>
            <w:color w:val="0000EE"/>
          </w:rPr>
          <w:t>Warrant to purchase Shares of Common Stock of Celsion Corporation between Celsion Corporation and EGWU, Inc., dated March 28, 2019.</w:t>
        </w:r>
      </w:hyperlink>
    </w:p>
    <w:p>
      <w:pPr>
        <w:spacing w:after="0" w:line="225" w:lineRule="exact"/>
        <w:rPr>
          <w:sz w:val="20"/>
          <w:szCs w:val="20"/>
          <w:color w:val="auto"/>
        </w:rPr>
      </w:pPr>
    </w:p>
    <w:p>
      <w:pPr>
        <w:jc w:val="both"/>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71">
        <w:r>
          <w:rPr>
            <w:rFonts w:ascii="Arial" w:cs="Arial" w:eastAsia="Arial" w:hAnsi="Arial"/>
            <w:sz w:val="18"/>
            <w:szCs w:val="18"/>
            <w:u w:val="single" w:color="auto"/>
            <w:color w:val="0000EE"/>
          </w:rPr>
          <w:t>Second Amendment to Lease Agreement, dated January 9, 2019, by and between Celsion Corporation and Lenox Drive Office Park, LLC,</w:t>
        </w:r>
      </w:hyperlink>
      <w:r>
        <w:rPr>
          <w:rFonts w:ascii="Arial" w:cs="Arial" w:eastAsia="Arial" w:hAnsi="Arial"/>
          <w:sz w:val="18"/>
          <w:szCs w:val="18"/>
          <w:u w:val="single" w:color="auto"/>
          <w:color w:val="0000EE"/>
        </w:rPr>
        <w:t xml:space="preserve"> </w:t>
      </w:r>
      <w:hyperlink w:anchor="page71">
        <w:r>
          <w:rPr>
            <w:rFonts w:ascii="Arial" w:cs="Arial" w:eastAsia="Arial" w:hAnsi="Arial"/>
            <w:sz w:val="18"/>
            <w:szCs w:val="18"/>
            <w:u w:val="single" w:color="auto"/>
            <w:color w:val="0000EE"/>
          </w:rPr>
          <w:t>successor in interest to Brandywine Operating Partnership, L.P.</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7">
        <w:r>
          <w:rPr>
            <w:rFonts w:ascii="Arial" w:cs="Arial" w:eastAsia="Arial" w:hAnsi="Arial"/>
            <w:sz w:val="16"/>
            <w:szCs w:val="16"/>
            <w:u w:val="single" w:color="auto"/>
            <w:color w:val="0000EE"/>
          </w:rPr>
          <w:t>Certification of Chief Executive Officer pursuant to Rule 13a-14(a)/15d-14(a), as adopted pursuant to Section 302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9">
        <w:r>
          <w:rPr>
            <w:rFonts w:ascii="Arial" w:cs="Arial" w:eastAsia="Arial" w:hAnsi="Arial"/>
            <w:sz w:val="16"/>
            <w:szCs w:val="16"/>
            <w:u w:val="single" w:color="auto"/>
            <w:color w:val="0000EE"/>
          </w:rPr>
          <w:t>Certification of Chief Financial Officer pursuant to Rule 13a-14(a)/15d-14(a), as adopted pursuant to Section 302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81">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225" w:lineRule="exact"/>
        <w:rPr>
          <w:sz w:val="20"/>
          <w:szCs w:val="20"/>
          <w:color w:val="auto"/>
        </w:rPr>
      </w:pPr>
    </w:p>
    <w:p>
      <w:pPr>
        <w:ind w:left="780" w:hanging="77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780" w:hanging="779"/>
        <w:spacing w:after="0" w:line="279" w:lineRule="auto"/>
        <w:tabs>
          <w:tab w:leader="none" w:pos="7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The following materials from the Company’s Quarterly Report on Form 10-Q for the quarter ended June 30, 2018,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71" w:lineRule="exact"/>
        <w:rPr>
          <w:sz w:val="20"/>
          <w:szCs w:val="20"/>
          <w:color w:val="auto"/>
        </w:rPr>
      </w:pPr>
    </w:p>
    <w:p>
      <w:pPr>
        <w:jc w:val="both"/>
        <w:ind w:left="780" w:hanging="772"/>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780" w:hanging="772"/>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15, 2019</w:t>
      </w:r>
      <w:r>
        <w:rPr>
          <w:sz w:val="20"/>
          <w:szCs w:val="20"/>
          <w:color w:val="auto"/>
        </w:rPr>
        <w:tab/>
      </w:r>
      <w:r>
        <w:rPr>
          <w:rFonts w:ascii="Arial" w:cs="Arial" w:eastAsia="Arial" w:hAnsi="Arial"/>
          <w:sz w:val="17"/>
          <w:szCs w:val="17"/>
          <w:color w:val="auto"/>
        </w:rPr>
        <w:t>CELSION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WARRANT AND THE SHARES OF CAPITAL STOCK ISSUED UPON ANY EXERCISE HEREOF HAVE NOT BEEN REGISTERED UNDER THE SECURITIES ACT OF 1933, AS AMENDED (THE “SECURITIES ACT”), OR ANY APPLICABLE STATE SECURITIES LAWS AND MAY NOT BE SOLD OR OTHERWISE TRANSFERRED TO ANY PERSON, INCLUDING A PLEDGEE, UNLESS (1) EITHER (A) A REGISTRATION STATEMENT WITH RESPECT THERETO SHALL BE EFFECTIVE UNDER THE SECURITIES ACT, OR (B) THE COMPANY SHALL HAVE RECEIVED AN OPINION OF COUNSEL SATISFACTORY TO THE COMPANY THAT AN EXEMPTION FROM REGISTRATION UNDER THE SECURITIES ACT IS AVAILABLE, AND (2) THERE SHALL HAVE BEEN COMPLIANCE WITH ALL APPLICABLE STATE SECURITIES OR “BLUE SKY” LAWS.</w:t>
      </w:r>
    </w:p>
    <w:p>
      <w:pPr>
        <w:sectPr>
          <w:pgSz w:w="11900" w:h="16838" w:orient="portrait"/>
          <w:cols w:equalWidth="0" w:num="1">
            <w:col w:w="11420"/>
          </w:cols>
          <w:pgMar w:left="240" w:top="337"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Warrant -No. 2019-001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Issue Date: March 28, 2019</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Warrant to Purchase 200,000 Shares</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Common Stock</w:t>
      </w:r>
    </w:p>
    <w:p>
      <w:pPr>
        <w:spacing w:after="0" w:line="200" w:lineRule="exact"/>
        <w:rPr>
          <w:sz w:val="20"/>
          <w:szCs w:val="20"/>
          <w:color w:val="auto"/>
        </w:rPr>
      </w:pPr>
    </w:p>
    <w:p>
      <w:pPr>
        <w:sectPr>
          <w:pgSz w:w="11900" w:h="16838" w:orient="portrait"/>
          <w:cols w:equalWidth="0" w:num="2">
            <w:col w:w="8100" w:space="720"/>
            <w:col w:w="2600"/>
          </w:cols>
          <w:pgMar w:left="240" w:top="337"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Celsion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for value received, hereby certifies that EGWU, Inc. or its registered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March 28, 2019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until this Warrant is exercised in full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to purchase from the Company, 200,000 shares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 purchase price per share of Common Stock of $0.01 per share (the “</w:t>
      </w:r>
      <w:r>
        <w:rPr>
          <w:rFonts w:ascii="Arial" w:cs="Arial" w:eastAsia="Arial" w:hAnsi="Arial"/>
          <w:sz w:val="16"/>
          <w:szCs w:val="16"/>
          <w:u w:val="single" w:color="auto"/>
          <w:color w:val="auto"/>
        </w:rPr>
        <w:t>Exercise Price</w:t>
      </w:r>
      <w:r>
        <w:rPr>
          <w:rFonts w:ascii="Arial" w:cs="Arial" w:eastAsia="Arial" w:hAnsi="Arial"/>
          <w:sz w:val="16"/>
          <w:szCs w:val="16"/>
          <w:color w:val="auto"/>
        </w:rPr>
        <w: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Warrant to Purchase Common Stock (this “</w:t>
      </w:r>
      <w:r>
        <w:rPr>
          <w:rFonts w:ascii="Arial" w:cs="Arial" w:eastAsia="Arial" w:hAnsi="Arial"/>
          <w:sz w:val="18"/>
          <w:szCs w:val="18"/>
          <w:u w:val="single" w:color="auto"/>
          <w:color w:val="auto"/>
        </w:rPr>
        <w:t>Warrant</w:t>
      </w:r>
      <w:r>
        <w:rPr>
          <w:rFonts w:ascii="Arial" w:cs="Arial" w:eastAsia="Arial" w:hAnsi="Arial"/>
          <w:sz w:val="18"/>
          <w:szCs w:val="18"/>
          <w:color w:val="auto"/>
        </w:rPr>
        <w:t>”) is one of a series of warrants (collectively, the “</w:t>
      </w:r>
      <w:r>
        <w:rPr>
          <w:rFonts w:ascii="Arial" w:cs="Arial" w:eastAsia="Arial" w:hAnsi="Arial"/>
          <w:sz w:val="18"/>
          <w:szCs w:val="18"/>
          <w:u w:val="single" w:color="auto"/>
          <w:color w:val="auto"/>
        </w:rPr>
        <w:t>Warrants</w:t>
      </w:r>
      <w:r>
        <w:rPr>
          <w:rFonts w:ascii="Arial" w:cs="Arial" w:eastAsia="Arial" w:hAnsi="Arial"/>
          <w:sz w:val="18"/>
          <w:szCs w:val="18"/>
          <w:color w:val="auto"/>
        </w:rPr>
        <w:t>”). The terms of the Warrants (including this Warrant) are and will be identical except as to the name of the Holder thereof, the number of shares of Common Stock exercisable by such holder and the date of issuance thereof.</w:t>
      </w:r>
    </w:p>
    <w:p>
      <w:pPr>
        <w:spacing w:after="0" w:line="177"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XERCISE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Manner of Exercise; Payment in Cash</w:t>
      </w:r>
      <w:r>
        <w:rPr>
          <w:rFonts w:ascii="Arial" w:cs="Arial" w:eastAsia="Arial" w:hAnsi="Arial"/>
          <w:sz w:val="16"/>
          <w:szCs w:val="16"/>
          <w:color w:val="auto"/>
        </w:rPr>
        <w:t xml:space="preserve">. This Warrant may be exercised by the Holder, in whole or in part, by surrendering this Warrant, with the purchase form appended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duly executed by the Holder, at the principal office of the Company, or at such other place as the Company may designate, accompanied by payment in full of the Exercise Price payable in respect of the number of shares of Common Stock purchased upon such exercise. Payment of the Exercise Price shall be in cash or by certified or official bank check payable to the order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Effectiveness</w:t>
      </w:r>
      <w:r>
        <w:rPr>
          <w:rFonts w:ascii="Arial" w:cs="Arial" w:eastAsia="Arial" w:hAnsi="Arial"/>
          <w:sz w:val="18"/>
          <w:szCs w:val="18"/>
          <w:color w:val="auto"/>
        </w:rPr>
        <w:t>. Each exercise of this Warrant shall be deemed to have been effected immediately prior to the close of business on the day on which this Warrant shall have been surrendered to the Company as provided in Section 1.1 above. At such time, the person or persons in whose name or names any certificates for Common Stock shall be issuable upon such exercise as provided in Section 1.3 below shall be deemed to have become the holder or holders of record of the Common Stock represented by such certificates.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Delivery of Certificates</w:t>
      </w:r>
      <w:r>
        <w:rPr>
          <w:rFonts w:ascii="Arial" w:cs="Arial" w:eastAsia="Arial" w:hAnsi="Arial"/>
          <w:sz w:val="18"/>
          <w:szCs w:val="18"/>
          <w:color w:val="auto"/>
        </w:rPr>
        <w:t>. As soon as practicable after the exercise of this Warrant in full or in part, and in any event within thirty (30) business days thereafter, the Company at its sole expense will cause to be issued in the name of, and delivered to, the Holder, or, subject to the terms and conditions hereof, as such Holder may direct:</w:t>
      </w:r>
    </w:p>
    <w:p>
      <w:pPr>
        <w:spacing w:after="0" w:line="181" w:lineRule="exact"/>
        <w:rPr>
          <w:sz w:val="20"/>
          <w:szCs w:val="20"/>
          <w:color w:val="auto"/>
        </w:rPr>
      </w:pPr>
    </w:p>
    <w:p>
      <w:pPr>
        <w:jc w:val="both"/>
        <w:ind w:left="640" w:right="20"/>
        <w:spacing w:after="0" w:line="342" w:lineRule="auto"/>
        <w:tabs>
          <w:tab w:leader="none" w:pos="88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certificate or certificates for the number of full shares of Common Stock to which such Holder shall be entitled upon such exercise plus, in lieu of any fractional share to which such Holder would otherwise be entitled, cash in an amount determined pursuant to Section 1.4 hereof, and</w:t>
      </w:r>
    </w:p>
    <w:p>
      <w:pPr>
        <w:spacing w:after="0" w:line="123" w:lineRule="exact"/>
        <w:rPr>
          <w:rFonts w:ascii="Arial" w:cs="Arial" w:eastAsia="Arial" w:hAnsi="Arial"/>
          <w:sz w:val="16"/>
          <w:szCs w:val="16"/>
          <w:color w:val="auto"/>
        </w:rPr>
      </w:pPr>
    </w:p>
    <w:p>
      <w:pPr>
        <w:jc w:val="both"/>
        <w:ind w:left="640"/>
        <w:spacing w:after="0" w:line="259" w:lineRule="auto"/>
        <w:tabs>
          <w:tab w:leader="none" w:pos="9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case such exercise is in part only, a new warrant or warrants (dated the date hereof) of like tenor, calling in the aggregate on the face or faces thereof for the number of shares of Common Stock (without giving effect to any adjustment therein) equal to the number of such shares called for on the face of this Warrant minus the number of such shares purchased by the Holder upon such exercise as provided in Section 1.1 above.</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Fractional Shares</w:t>
      </w:r>
      <w:r>
        <w:rPr>
          <w:rFonts w:ascii="Arial" w:cs="Arial" w:eastAsia="Arial" w:hAnsi="Arial"/>
          <w:sz w:val="17"/>
          <w:szCs w:val="17"/>
          <w:color w:val="auto"/>
        </w:rPr>
        <w:t>. The Company shall not be required upon the exercise of this Warrant to issue any fractional shares but shall make an adjustment therefor in cash on the basis of the fair market value of a share of such Common Stock determined pursuant to Section 1.5(c)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Right to Convert Warrant into Stock: Net Issuance</w:t>
      </w:r>
      <w:r>
        <w:rPr>
          <w:rFonts w:ascii="Arial" w:cs="Arial" w:eastAsia="Arial" w:hAnsi="Arial"/>
          <w:sz w:val="18"/>
          <w:szCs w:val="18"/>
          <w:color w:val="auto"/>
        </w:rPr>
        <w:t>.</w:t>
      </w:r>
    </w:p>
    <w:p>
      <w:pPr>
        <w:spacing w:after="0" w:line="225" w:lineRule="exact"/>
        <w:rPr>
          <w:sz w:val="20"/>
          <w:szCs w:val="20"/>
          <w:color w:val="auto"/>
        </w:rPr>
      </w:pPr>
    </w:p>
    <w:p>
      <w:pPr>
        <w:jc w:val="both"/>
        <w:ind w:left="640"/>
        <w:spacing w:after="0" w:line="284" w:lineRule="auto"/>
        <w:tabs>
          <w:tab w:leader="none" w:pos="88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Right to Convert</w:t>
      </w:r>
      <w:r>
        <w:rPr>
          <w:rFonts w:ascii="Arial" w:cs="Arial" w:eastAsia="Arial" w:hAnsi="Arial"/>
          <w:sz w:val="16"/>
          <w:szCs w:val="16"/>
          <w:color w:val="auto"/>
        </w:rPr>
        <w:t>. In addition to and without limiting the rights of the Holder under the terms of this Warrant, the Holder shall have the right to convert this Warrant or any portion thereof (the “</w:t>
      </w:r>
      <w:r>
        <w:rPr>
          <w:rFonts w:ascii="Arial" w:cs="Arial" w:eastAsia="Arial" w:hAnsi="Arial"/>
          <w:sz w:val="16"/>
          <w:szCs w:val="16"/>
          <w:u w:val="single" w:color="auto"/>
          <w:color w:val="auto"/>
        </w:rPr>
        <w:t>Conversion Right</w:t>
      </w:r>
      <w:r>
        <w:rPr>
          <w:rFonts w:ascii="Arial" w:cs="Arial" w:eastAsia="Arial" w:hAnsi="Arial"/>
          <w:sz w:val="16"/>
          <w:szCs w:val="16"/>
          <w:color w:val="auto"/>
        </w:rPr>
        <w:t>”), when exercisable, into shares of Common Stock as provided in this Section 1.5. Upon exercise of the Conversion Right with respect to a particular number of shares subject to this Warrant (the “</w:t>
      </w:r>
      <w:r>
        <w:rPr>
          <w:rFonts w:ascii="Arial" w:cs="Arial" w:eastAsia="Arial" w:hAnsi="Arial"/>
          <w:sz w:val="16"/>
          <w:szCs w:val="16"/>
          <w:u w:val="single" w:color="auto"/>
          <w:color w:val="auto"/>
        </w:rPr>
        <w:t>Converted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Warrant Shares</w:t>
      </w:r>
      <w:r>
        <w:rPr>
          <w:rFonts w:ascii="Arial" w:cs="Arial" w:eastAsia="Arial" w:hAnsi="Arial"/>
          <w:sz w:val="16"/>
          <w:szCs w:val="16"/>
          <w:color w:val="auto"/>
        </w:rPr>
        <w:t>”), the Company shall deliver to the Holder (without payment by the Holder of any Exercise Price or any cash or other consideration) that number of shares of fully paid and nonassessable Common Stock equal to the quotient obtained by dividing (X) the value of this Warrant (or the specified portion hereof) on the Conversion Date (as defined in subsection (b) hereof), which value shall be determined by subtracting (A) the aggregate Exercise Price of the Converted Warrant Shares immediately prior to the exercise of the Conversion Right from</w:t>
      </w:r>
    </w:p>
    <w:p>
      <w:pPr>
        <w:spacing w:after="0" w:line="2" w:lineRule="exact"/>
        <w:rPr>
          <w:rFonts w:ascii="Arial" w:cs="Arial" w:eastAsia="Arial" w:hAnsi="Arial"/>
          <w:sz w:val="16"/>
          <w:szCs w:val="16"/>
          <w:color w:val="auto"/>
        </w:rPr>
      </w:pPr>
    </w:p>
    <w:p>
      <w:pPr>
        <w:ind w:left="640"/>
        <w:spacing w:after="0" w:line="323" w:lineRule="auto"/>
        <w:rPr>
          <w:rFonts w:ascii="Arial" w:cs="Arial" w:eastAsia="Arial" w:hAnsi="Arial"/>
          <w:sz w:val="16"/>
          <w:szCs w:val="16"/>
          <w:color w:val="auto"/>
        </w:rPr>
      </w:pPr>
      <w:r>
        <w:rPr>
          <w:rFonts w:ascii="Arial" w:cs="Arial" w:eastAsia="Arial" w:hAnsi="Arial"/>
          <w:sz w:val="16"/>
          <w:szCs w:val="16"/>
          <w:color w:val="auto"/>
        </w:rPr>
        <w:t>(B) the aggregate fair market value of the Converted Warrant Shares issuable upon exercise of this Warrant (or the specified portion hereof) on the Conversion Date by (Y) the fair market value of one share of Common Stock on the Conversion Date for which the Warrant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234315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Expressed as a formula, such conversion shall be computed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 = </w:t>
      </w:r>
      <w:r>
        <w:rPr>
          <w:rFonts w:ascii="Arial" w:cs="Arial" w:eastAsia="Arial" w:hAnsi="Arial"/>
          <w:sz w:val="18"/>
          <w:szCs w:val="18"/>
          <w:u w:val="single" w:color="auto"/>
          <w:color w:val="auto"/>
        </w:rPr>
        <w:t>B-A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N = the number of shares of Common Stock that may be issued to Holder</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Y = the fair market value (FMV) of one share of such Common Stock</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 the aggregate Warrant Price (Converted Warrant Shares x Exercise Price)</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 = the aggregate FMV (i.e., FMV x Converted Warrant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fractional shares shall be issuable upon exercise of the Conversion Right, and, if the number of shares to be issued determined in accordance with the foregoing formula is other than a whole number, the Company shall pay to the Holder an amount in cash equal to the fair market value of the resulting fractional share of the Conversion Date.</w:t>
      </w:r>
    </w:p>
    <w:p>
      <w:pPr>
        <w:spacing w:after="0" w:line="181" w:lineRule="exact"/>
        <w:rPr>
          <w:sz w:val="20"/>
          <w:szCs w:val="20"/>
          <w:color w:val="auto"/>
        </w:rPr>
      </w:pPr>
    </w:p>
    <w:p>
      <w:pPr>
        <w:jc w:val="both"/>
        <w:ind w:left="320"/>
        <w:spacing w:after="0" w:line="271" w:lineRule="auto"/>
        <w:tabs>
          <w:tab w:leader="none" w:pos="58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The Conversion Right may be exercised by the Holder by the surrender of this Warrant, when exercisable, at the principal office of the Company together with the Purchase Form in the form attached hereto duly completed and executed and indicating the number of shares subject to this Warrant which are being surrendered (referred to in Section 1.5(a) hereof as the Converted Warrant Shares) in exercise of the Conversion Right. Such conversion shall be effective upon receipt by the Company of this Warrant together with the aforesaid written statement, or on such later date as is specified therein (the “</w:t>
      </w:r>
      <w:r>
        <w:rPr>
          <w:rFonts w:ascii="Arial" w:cs="Arial" w:eastAsia="Arial" w:hAnsi="Arial"/>
          <w:sz w:val="17"/>
          <w:szCs w:val="17"/>
          <w:u w:val="single" w:color="auto"/>
          <w:color w:val="auto"/>
        </w:rPr>
        <w:t>Conversion Date</w:t>
      </w:r>
      <w:r>
        <w:rPr>
          <w:rFonts w:ascii="Arial" w:cs="Arial" w:eastAsia="Arial" w:hAnsi="Arial"/>
          <w:sz w:val="17"/>
          <w:szCs w:val="17"/>
          <w:color w:val="auto"/>
        </w:rPr>
        <w:t>”), and, at the election of the Holder hereof, may be made contingent upon the occurrence of any of the events specified in Section 2. Certificates for the shares issuable upon exercise of the Conversion Right and, if applicable, a new Warrant evidencing the balance of the shares remaining subject to this Warrant, shall be issued as of the Conversion Date and shall be delivered to the Holder within thirty (30) days following the Conversion Date.</w:t>
      </w:r>
    </w:p>
    <w:p>
      <w:pPr>
        <w:spacing w:after="0" w:line="178" w:lineRule="exact"/>
        <w:rPr>
          <w:rFonts w:ascii="Arial" w:cs="Arial" w:eastAsia="Arial" w:hAnsi="Arial"/>
          <w:sz w:val="17"/>
          <w:szCs w:val="17"/>
          <w:color w:val="auto"/>
        </w:rPr>
      </w:pPr>
    </w:p>
    <w:p>
      <w:pPr>
        <w:ind w:left="320"/>
        <w:spacing w:after="0" w:line="277" w:lineRule="auto"/>
        <w:tabs>
          <w:tab w:leader="none" w:pos="56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Determination of Fair Market Value</w:t>
      </w:r>
      <w:r>
        <w:rPr>
          <w:rFonts w:ascii="Arial" w:cs="Arial" w:eastAsia="Arial" w:hAnsi="Arial"/>
          <w:sz w:val="18"/>
          <w:szCs w:val="18"/>
          <w:color w:val="auto"/>
        </w:rPr>
        <w:t>. For purposes of this Section 1.5, “fair market value” of a share of Common Stock as of a particular date (the “</w:t>
      </w:r>
      <w:r>
        <w:rPr>
          <w:rFonts w:ascii="Arial" w:cs="Arial" w:eastAsia="Arial" w:hAnsi="Arial"/>
          <w:sz w:val="18"/>
          <w:szCs w:val="18"/>
          <w:u w:val="single" w:color="auto"/>
          <w:color w:val="auto"/>
        </w:rPr>
        <w:t>Determination Date</w:t>
      </w:r>
      <w:r>
        <w:rPr>
          <w:rFonts w:ascii="Arial" w:cs="Arial" w:eastAsia="Arial" w:hAnsi="Arial"/>
          <w:sz w:val="18"/>
          <w:szCs w:val="18"/>
          <w:color w:val="auto"/>
        </w:rPr>
        <w:t>”)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254635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64" w:name="page65"/>
    <w:bookmarkEnd w:id="64"/>
    <w:p>
      <w:pPr>
        <w:jc w:val="both"/>
        <w:ind w:left="972" w:firstLine="649"/>
        <w:spacing w:after="0" w:line="286" w:lineRule="auto"/>
        <w:tabs>
          <w:tab w:leader="none" w:pos="1849"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the Conversion Right is exercised in connection with and contingent upon a public offering, and if the Company’s Registration Statement relating to such public offering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has been declared effective by the Securities and Exchange Commission, then the initial “Price to Public” of a share of Common Stock specified in the final prospectus with respect to such offering.</w:t>
      </w:r>
    </w:p>
    <w:p>
      <w:pPr>
        <w:spacing w:after="0" w:line="165" w:lineRule="exact"/>
        <w:rPr>
          <w:rFonts w:ascii="Arial" w:cs="Arial" w:eastAsia="Arial" w:hAnsi="Arial"/>
          <w:sz w:val="17"/>
          <w:szCs w:val="17"/>
          <w:color w:val="auto"/>
        </w:rPr>
      </w:pPr>
    </w:p>
    <w:p>
      <w:pPr>
        <w:ind w:left="1892" w:hanging="271"/>
        <w:spacing w:after="0"/>
        <w:tabs>
          <w:tab w:leader="none" w:pos="18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Conversion Right is not exercised in connection with and contingent upon a public offering, then as follows:</w:t>
      </w:r>
    </w:p>
    <w:p>
      <w:pPr>
        <w:spacing w:after="0" w:line="225" w:lineRule="exact"/>
        <w:rPr>
          <w:rFonts w:ascii="Arial" w:cs="Arial" w:eastAsia="Arial" w:hAnsi="Arial"/>
          <w:sz w:val="18"/>
          <w:szCs w:val="18"/>
          <w:color w:val="auto"/>
        </w:rPr>
      </w:pPr>
    </w:p>
    <w:p>
      <w:pPr>
        <w:jc w:val="both"/>
        <w:ind w:left="2452" w:hanging="507"/>
        <w:spacing w:after="0" w:line="286" w:lineRule="auto"/>
        <w:tabs>
          <w:tab w:leader="none" w:pos="2452" w:val="left"/>
        </w:tabs>
        <w:numPr>
          <w:ilvl w:val="1"/>
          <w:numId w:val="29"/>
        </w:numPr>
        <w:rPr>
          <w:rFonts w:ascii="Arial" w:cs="Arial" w:eastAsia="Arial" w:hAnsi="Arial"/>
          <w:sz w:val="17"/>
          <w:szCs w:val="17"/>
          <w:color w:val="auto"/>
        </w:rPr>
      </w:pPr>
      <w:r>
        <w:rPr>
          <w:rFonts w:ascii="Arial" w:cs="Arial" w:eastAsia="Arial" w:hAnsi="Arial"/>
          <w:sz w:val="17"/>
          <w:szCs w:val="17"/>
          <w:color w:val="auto"/>
        </w:rPr>
        <w:t>if traded on a securities exchange, the fair market value of the Common Stock shall be deemed to be the average of the closing prices of the Common Stock on such exchange over the five-day period ending one business day prior to the Determination Date or, if less, such number of days as the Common Stock has been traded on such exchange;</w:t>
      </w:r>
    </w:p>
    <w:p>
      <w:pPr>
        <w:spacing w:after="0" w:line="165" w:lineRule="exact"/>
        <w:rPr>
          <w:rFonts w:ascii="Arial" w:cs="Arial" w:eastAsia="Arial" w:hAnsi="Arial"/>
          <w:sz w:val="17"/>
          <w:szCs w:val="17"/>
          <w:color w:val="auto"/>
        </w:rPr>
      </w:pPr>
    </w:p>
    <w:p>
      <w:pPr>
        <w:jc w:val="both"/>
        <w:ind w:left="2452" w:hanging="507"/>
        <w:spacing w:after="0" w:line="286" w:lineRule="auto"/>
        <w:tabs>
          <w:tab w:leader="none" w:pos="2452" w:val="left"/>
        </w:tabs>
        <w:numPr>
          <w:ilvl w:val="1"/>
          <w:numId w:val="29"/>
        </w:numPr>
        <w:rPr>
          <w:rFonts w:ascii="Arial" w:cs="Arial" w:eastAsia="Arial" w:hAnsi="Arial"/>
          <w:sz w:val="17"/>
          <w:szCs w:val="17"/>
          <w:color w:val="auto"/>
        </w:rPr>
      </w:pPr>
      <w:r>
        <w:rPr>
          <w:rFonts w:ascii="Arial" w:cs="Arial" w:eastAsia="Arial" w:hAnsi="Arial"/>
          <w:sz w:val="17"/>
          <w:szCs w:val="17"/>
          <w:color w:val="auto"/>
        </w:rPr>
        <w:t>if traded over-the-counter, the fair market value of the Common Stock shall be deemed to be the average of the closing bid prices of the Common Stock over the five-day period ending one business day prior to the Determination Date or, if less, such number of days as the Common Stock has been traded over-the-counter; and</w:t>
      </w:r>
    </w:p>
    <w:p>
      <w:pPr>
        <w:spacing w:after="0" w:line="165" w:lineRule="exact"/>
        <w:rPr>
          <w:rFonts w:ascii="Arial" w:cs="Arial" w:eastAsia="Arial" w:hAnsi="Arial"/>
          <w:sz w:val="17"/>
          <w:szCs w:val="17"/>
          <w:color w:val="auto"/>
        </w:rPr>
      </w:pPr>
    </w:p>
    <w:p>
      <w:pPr>
        <w:ind w:left="2452" w:right="20" w:hanging="507"/>
        <w:spacing w:after="0" w:line="277" w:lineRule="auto"/>
        <w:tabs>
          <w:tab w:leader="none" w:pos="24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there is no public market for the Company’s Common Stock, then fair market value of a share of such Common Stock shall be determined in good faith by the Board of Directors of the Company.</w:t>
      </w:r>
    </w:p>
    <w:p>
      <w:pPr>
        <w:spacing w:after="0" w:line="166" w:lineRule="exact"/>
        <w:rPr>
          <w:sz w:val="20"/>
          <w:szCs w:val="20"/>
          <w:color w:val="auto"/>
        </w:rPr>
      </w:pPr>
    </w:p>
    <w:p>
      <w:pPr>
        <w:ind w:left="172" w:hanging="172"/>
        <w:spacing w:after="0"/>
        <w:tabs>
          <w:tab w:leader="none" w:pos="172"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ERTAIN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DJUSTMENTS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332"/>
        <w:spacing w:after="0" w:line="29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Changes in Common Stock</w:t>
      </w:r>
      <w:r>
        <w:rPr>
          <w:rFonts w:ascii="Arial" w:cs="Arial" w:eastAsia="Arial" w:hAnsi="Arial"/>
          <w:sz w:val="16"/>
          <w:szCs w:val="16"/>
          <w:color w:val="auto"/>
        </w:rPr>
        <w:t>. If the Company shall (i) combine the outstanding shares of Common Stock into a lesser number of shares, (ii) subdivide the outstanding shares of Common Stock into a greater number of shares, or (iii) issue additional shares of Common Stock as a dividend or other distribution with respect to the Common Stock, the number of shares of Common Stock to be issued pursuant to the terms of this Warrant shall be equal to the number of shares which the Holder would have been entitled to receive after the happening of any of the events described above if such shares had been issued immediately prior to the happening of such event, such adjustment to become effective concurrently with the effectiveness of such event. The Exercise Price in effect immediately prior to any such combination of Common Stock shall, upon the effectiveness of such combination, be proportionately increased. The Exercise Price in effect immediately prior to any such subdivision of Common Stock or at the record date of such dividend shall upon the effectiveness of such subdivision or immediately after the record date of such dividend be proportionately reduced.</w:t>
      </w:r>
    </w:p>
    <w:p>
      <w:pPr>
        <w:spacing w:after="0" w:line="166" w:lineRule="exact"/>
        <w:rPr>
          <w:sz w:val="20"/>
          <w:szCs w:val="20"/>
          <w:color w:val="auto"/>
        </w:rPr>
      </w:pPr>
    </w:p>
    <w:p>
      <w:pPr>
        <w:jc w:val="both"/>
        <w:ind w:left="332"/>
        <w:spacing w:after="0" w:line="27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Reorganizations and Reclassifications</w:t>
      </w:r>
      <w:r>
        <w:rPr>
          <w:rFonts w:ascii="Arial" w:cs="Arial" w:eastAsia="Arial" w:hAnsi="Arial"/>
          <w:sz w:val="17"/>
          <w:szCs w:val="17"/>
          <w:color w:val="auto"/>
        </w:rPr>
        <w:t>. If there shall occur any capital reorganization or reclassification of its Common Stock (other than a change in par value or a subdivision or combination as provided for in Section 2.1), then, as part of any such reorganization or reclassification, lawful provision shall be made so that the Holder shall have the right thereafter to receive upon the exercise hereof the kind and amount of shares of stock or other securities or property which such Holder would have been entitled to receive if, immediately prior to any such reorganization or reclassification, such Holder had held the number of shares of Common Stock which were then purchasable upon the exercise of this Warrant. In any such case, appropriate adjustment (as reasonably determined by the Board of Directors of the Company) shall be made in the application of the provisions set forth herein with respect to the rights and interests thereafter of the Holder such that the provisions set forth in this Section 2 (including provisions with respect to adjustment of the Exercise Price) shall thereafter be applicable, as nearly as is reasonably practicable, in relation to any shares of stock or other securities or property thereafter deliverable upon the exercise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65" w:name="page66"/>
    <w:bookmarkEnd w:id="65"/>
    <w:p>
      <w:pPr>
        <w:jc w:val="both"/>
        <w:ind w:left="332"/>
        <w:spacing w:after="0" w:line="28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Merger, Consolidation or Sale of Assets</w:t>
      </w:r>
      <w:r>
        <w:rPr>
          <w:rFonts w:ascii="Arial" w:cs="Arial" w:eastAsia="Arial" w:hAnsi="Arial"/>
          <w:sz w:val="16"/>
          <w:szCs w:val="16"/>
          <w:color w:val="auto"/>
        </w:rPr>
        <w:t>. Subject to the provisions of this Section 2, if there shall be a merger or consolidation of the Company with or into another corporation (other than a merger or reorganization involving only a change in the state of incorporation of the Company or the acquisition by the Company of other businesses where the Company survives as a going concern), or the sale of all or substantially all of the Company’s capital stock or assets to any other person, then as a part of such transaction, provision shall be made so that the Holder shall thereafter be entitled to receive the number of shares of stock or other securities or property of the Company, or of the successor corporation resulting from the merger, consolidation or sale, to which the Holder would have been entitled if the Holder had exercised its rights pursuant to the Warrant immediately prior thereto. In any such case, appropriate adjustment shall be made in the application of the provisions of this Section 2 to the end that the provisions of this Section 2 shall be applicable after that event in as nearly equivalent a manner as may be practicable. Upon the closing of any transaction pursuant to this Section 2.3, this Warrant shall terminate. The Company shall provide the Holder with at least five (5) days’ written notice prior to closing thereof of the terms and conditions of any transaction or transactions contemplated by this Section 2.3 (to the extent the Company has notice thereof).</w:t>
      </w:r>
    </w:p>
    <w:p>
      <w:pPr>
        <w:spacing w:after="0" w:line="169" w:lineRule="exact"/>
        <w:rPr>
          <w:sz w:val="20"/>
          <w:szCs w:val="20"/>
          <w:color w:val="auto"/>
        </w:rPr>
      </w:pPr>
    </w:p>
    <w:p>
      <w:pPr>
        <w:jc w:val="both"/>
        <w:ind w:left="332"/>
        <w:spacing w:after="0" w:line="30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Statement of Adjustment</w:t>
      </w:r>
      <w:r>
        <w:rPr>
          <w:rFonts w:ascii="Arial" w:cs="Arial" w:eastAsia="Arial" w:hAnsi="Arial"/>
          <w:sz w:val="16"/>
          <w:szCs w:val="16"/>
          <w:color w:val="auto"/>
        </w:rPr>
        <w:t>. Whenever the Exercise Price or the Common Stock to be issued hereunder shall be adjusted as provided in this Section 2, the Company shall forthwith file with the Secretary of the Company or at such other place as shall be designated by the Company, a statement, signed by its chief financial officer, showing in detail the facts requiring such adjustment, the Exercise Price in effect before and after such adjustment and the kind and amount of shares of capital stock, securities or other property thereafter to be received upon the exercise of this Warrant.</w:t>
      </w:r>
    </w:p>
    <w:p>
      <w:pPr>
        <w:spacing w:after="0" w:line="150" w:lineRule="exact"/>
        <w:rPr>
          <w:sz w:val="20"/>
          <w:szCs w:val="20"/>
          <w:color w:val="auto"/>
        </w:rPr>
      </w:pPr>
    </w:p>
    <w:p>
      <w:pPr>
        <w:ind w:left="-8" w:firstLine="8"/>
        <w:spacing w:after="0" w:line="282" w:lineRule="auto"/>
        <w:tabs>
          <w:tab w:leader="none" w:pos="172"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ESERVATION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WILL</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AT THE TIME THIS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 BECOMES EXERCISABLE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RESERVE AND KEEP AVAILABLE SUCH SHARES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NECESSARY FOR FULL EXERCISE HEREOF</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color w:val="auto"/>
        </w:rPr>
      </w:pPr>
    </w:p>
    <w:p>
      <w:pPr>
        <w:jc w:val="both"/>
        <w:ind w:left="-8" w:firstLine="8"/>
        <w:spacing w:after="0" w:line="261" w:lineRule="auto"/>
        <w:tabs>
          <w:tab w:leader="none" w:pos="172"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EPLACEMENT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t>
      </w:r>
      <w:r>
        <w:rPr>
          <w:rFonts w:ascii="Arial" w:cs="Arial" w:eastAsia="Arial" w:hAnsi="Arial"/>
          <w:sz w:val="12"/>
          <w:szCs w:val="12"/>
          <w:b w:val="1"/>
          <w:bCs w:val="1"/>
          <w:u w:val="single" w:color="auto"/>
          <w:color w:val="auto"/>
        </w:rPr>
        <w:t>ARRANTS</w:t>
      </w:r>
      <w:r>
        <w:rPr>
          <w:rFonts w:ascii="Arial" w:cs="Arial" w:eastAsia="Arial" w:hAnsi="Arial"/>
          <w:sz w:val="18"/>
          <w:szCs w:val="18"/>
          <w:b w:val="1"/>
          <w:bCs w:val="1"/>
          <w:color w:val="auto"/>
        </w:rPr>
        <w:t>. U</w:t>
      </w:r>
      <w:r>
        <w:rPr>
          <w:rFonts w:ascii="Arial" w:cs="Arial" w:eastAsia="Arial" w:hAnsi="Arial"/>
          <w:sz w:val="12"/>
          <w:szCs w:val="12"/>
          <w:b w:val="1"/>
          <w:bCs w:val="1"/>
          <w:color w:val="auto"/>
        </w:rPr>
        <w:t>PON RECEIPT OF EVIDENCE REASONABLY SATISFACTORY TO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OF THE LOSS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THEFT</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DESTRUCTION OR MUTILATION OF THIS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 AND</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IN THE CASE OF LOSS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THEFT OR DESTRUCTION</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UPON DELIVERY OF AN INDEMNITY AGREEMENT</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WITH SURETY IF REASONABLY REQUIRED</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IN AN AMOUNT</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 xml:space="preserve">REASONABLY SATISFACTORY TO THE </w:t>
      </w:r>
      <w:r>
        <w:rPr>
          <w:rFonts w:ascii="Arial" w:cs="Arial" w:eastAsia="Arial" w:hAnsi="Arial"/>
          <w:sz w:val="18"/>
          <w:szCs w:val="18"/>
          <w:b w:val="1"/>
          <w:bCs w:val="1"/>
          <w:color w:val="auto"/>
        </w:rPr>
        <w:t>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OR </w:t>
      </w:r>
      <w:r>
        <w:rPr>
          <w:rFonts w:ascii="Arial" w:cs="Arial" w:eastAsia="Arial" w:hAnsi="Arial"/>
          <w:sz w:val="18"/>
          <w:szCs w:val="18"/>
          <w:b w:val="1"/>
          <w:bCs w:val="1"/>
          <w:color w:val="auto"/>
        </w:rPr>
        <w:t>(</w:t>
      </w:r>
      <w:r>
        <w:rPr>
          <w:rFonts w:ascii="Arial" w:cs="Arial" w:eastAsia="Arial" w:hAnsi="Arial"/>
          <w:sz w:val="12"/>
          <w:szCs w:val="12"/>
          <w:b w:val="1"/>
          <w:bCs w:val="1"/>
          <w:color w:val="auto"/>
        </w:rPr>
        <w:t>IN THE CASE OF MUTILATION</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UPON SURRENDER AND CANCELLATION OF THIS </w:t>
      </w: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THE </w:t>
      </w:r>
      <w:r>
        <w:rPr>
          <w:rFonts w:ascii="Arial" w:cs="Arial" w:eastAsia="Arial" w:hAnsi="Arial"/>
          <w:sz w:val="18"/>
          <w:szCs w:val="18"/>
          <w:b w:val="1"/>
          <w:bCs w:val="1"/>
          <w:color w:val="auto"/>
        </w:rPr>
        <w:t>C</w:t>
      </w:r>
      <w:r>
        <w:rPr>
          <w:rFonts w:ascii="Arial" w:cs="Arial" w:eastAsia="Arial" w:hAnsi="Arial"/>
          <w:sz w:val="12"/>
          <w:szCs w:val="12"/>
          <w:b w:val="1"/>
          <w:bCs w:val="1"/>
          <w:color w:val="auto"/>
        </w:rPr>
        <w:t>OMPANY WILL ISSUE</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IN LIEU THEREOF</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A NEW </w:t>
      </w:r>
      <w:r>
        <w:rPr>
          <w:rFonts w:ascii="Arial" w:cs="Arial" w:eastAsia="Arial" w:hAnsi="Arial"/>
          <w:sz w:val="18"/>
          <w:szCs w:val="18"/>
          <w:b w:val="1"/>
          <w:bCs w:val="1"/>
          <w:color w:val="auto"/>
        </w:rPr>
        <w:t>W</w:t>
      </w:r>
      <w:r>
        <w:rPr>
          <w:rFonts w:ascii="Arial" w:cs="Arial" w:eastAsia="Arial" w:hAnsi="Arial"/>
          <w:sz w:val="12"/>
          <w:szCs w:val="12"/>
          <w:b w:val="1"/>
          <w:bCs w:val="1"/>
          <w:color w:val="auto"/>
        </w:rPr>
        <w:t>ARRANT OF LIKE TENOR</w:t>
      </w:r>
      <w:r>
        <w:rPr>
          <w:rFonts w:ascii="Arial" w:cs="Arial" w:eastAsia="Arial" w:hAnsi="Arial"/>
          <w:sz w:val="18"/>
          <w:szCs w:val="18"/>
          <w:b w:val="1"/>
          <w:bCs w:val="1"/>
          <w:color w:val="auto"/>
        </w:rPr>
        <w:t>.</w:t>
      </w:r>
    </w:p>
    <w:p>
      <w:pPr>
        <w:spacing w:after="0" w:line="180" w:lineRule="exact"/>
        <w:rPr>
          <w:rFonts w:ascii="Arial" w:cs="Arial" w:eastAsia="Arial" w:hAnsi="Arial"/>
          <w:sz w:val="18"/>
          <w:szCs w:val="18"/>
          <w:color w:val="auto"/>
        </w:rPr>
      </w:pPr>
    </w:p>
    <w:p>
      <w:pPr>
        <w:jc w:val="both"/>
        <w:ind w:left="-8" w:firstLine="8"/>
        <w:spacing w:after="0" w:line="258" w:lineRule="auto"/>
        <w:tabs>
          <w:tab w:leader="none" w:pos="172"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RANSFERABILITY</w:t>
      </w:r>
      <w:r>
        <w:rPr>
          <w:rFonts w:ascii="Arial" w:cs="Arial" w:eastAsia="Arial" w:hAnsi="Arial"/>
          <w:sz w:val="18"/>
          <w:szCs w:val="18"/>
          <w:b w:val="1"/>
          <w:bCs w:val="1"/>
          <w:color w:val="auto"/>
        </w:rPr>
        <w:t>. S</w:t>
      </w:r>
      <w:r>
        <w:rPr>
          <w:rFonts w:ascii="Arial" w:cs="Arial" w:eastAsia="Arial" w:hAnsi="Arial"/>
          <w:sz w:val="12"/>
          <w:szCs w:val="12"/>
          <w:b w:val="1"/>
          <w:bCs w:val="1"/>
          <w:color w:val="auto"/>
        </w:rPr>
        <w:t>UBJECT TO COMPLIANCE WITH APPLICABLE FEDERAL AND STATE SECURITIES LAWS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THIS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 AND ALL RIGHTS HEREUNDER ARE TRANSFERABLE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 xml:space="preserve">IN WHOLE OR IN PART BY THE </w:t>
      </w:r>
      <w:r>
        <w:rPr>
          <w:rFonts w:ascii="Arial" w:cs="Arial" w:eastAsia="Arial" w:hAnsi="Arial"/>
          <w:sz w:val="18"/>
          <w:szCs w:val="18"/>
          <w:b w:val="1"/>
          <w:bCs w:val="1"/>
          <w:color w:val="auto"/>
        </w:rPr>
        <w:t>H</w:t>
      </w:r>
      <w:r>
        <w:rPr>
          <w:rFonts w:ascii="Arial" w:cs="Arial" w:eastAsia="Arial" w:hAnsi="Arial"/>
          <w:sz w:val="12"/>
          <w:szCs w:val="12"/>
          <w:b w:val="1"/>
          <w:bCs w:val="1"/>
          <w:color w:val="auto"/>
        </w:rPr>
        <w:t xml:space="preserve">OLDER TO ANY PERSON OR ENTITY UPON WRITTEN NOTICE TO THE </w:t>
      </w:r>
      <w:r>
        <w:rPr>
          <w:rFonts w:ascii="Arial" w:cs="Arial" w:eastAsia="Arial" w:hAnsi="Arial"/>
          <w:sz w:val="18"/>
          <w:szCs w:val="18"/>
          <w:b w:val="1"/>
          <w:bCs w:val="1"/>
          <w:color w:val="auto"/>
        </w:rPr>
        <w:t>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T</w:t>
      </w:r>
      <w:r>
        <w:rPr>
          <w:rFonts w:ascii="Arial" w:cs="Arial" w:eastAsia="Arial" w:hAnsi="Arial"/>
          <w:sz w:val="12"/>
          <w:szCs w:val="12"/>
          <w:b w:val="1"/>
          <w:bCs w:val="1"/>
          <w:color w:val="auto"/>
        </w:rPr>
        <w:t xml:space="preserve">HE TRANSFER SHALL BE RECORDED ON THE BOOKS OF THE </w:t>
      </w:r>
      <w:r>
        <w:rPr>
          <w:rFonts w:ascii="Arial" w:cs="Arial" w:eastAsia="Arial" w:hAnsi="Arial"/>
          <w:sz w:val="18"/>
          <w:szCs w:val="18"/>
          <w:b w:val="1"/>
          <w:bCs w:val="1"/>
          <w:color w:val="auto"/>
        </w:rPr>
        <w:t>C</w:t>
      </w:r>
      <w:r>
        <w:rPr>
          <w:rFonts w:ascii="Arial" w:cs="Arial" w:eastAsia="Arial" w:hAnsi="Arial"/>
          <w:sz w:val="12"/>
          <w:szCs w:val="12"/>
          <w:b w:val="1"/>
          <w:bCs w:val="1"/>
          <w:color w:val="auto"/>
        </w:rPr>
        <w:t>OMPANY UPON THE SURRENDER OF THIS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PROPERLY ENDORSED</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TO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AT ITS PRINCIPAL OFFICES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AND THE PAYMENT TO THE</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 OF ALL</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TRANSFER TAXES AND OTHER GOVERNMENTAL CHARGES IMPOSED ON SUCH TRANSFER</w:t>
      </w:r>
      <w:r>
        <w:rPr>
          <w:rFonts w:ascii="Arial" w:cs="Arial" w:eastAsia="Arial" w:hAnsi="Arial"/>
          <w:sz w:val="18"/>
          <w:szCs w:val="18"/>
          <w:b w:val="1"/>
          <w:bCs w:val="1"/>
          <w:color w:val="auto"/>
        </w:rPr>
        <w:t>. I</w:t>
      </w:r>
      <w:r>
        <w:rPr>
          <w:rFonts w:ascii="Arial" w:cs="Arial" w:eastAsia="Arial" w:hAnsi="Arial"/>
          <w:sz w:val="12"/>
          <w:szCs w:val="12"/>
          <w:b w:val="1"/>
          <w:bCs w:val="1"/>
          <w:color w:val="auto"/>
        </w:rPr>
        <w:t>N THE EVENT OF A PARTIAL TRANSFER</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THE </w:t>
      </w:r>
      <w:r>
        <w:rPr>
          <w:rFonts w:ascii="Arial" w:cs="Arial" w:eastAsia="Arial" w:hAnsi="Arial"/>
          <w:sz w:val="18"/>
          <w:szCs w:val="18"/>
          <w:b w:val="1"/>
          <w:bCs w:val="1"/>
          <w:color w:val="auto"/>
        </w:rPr>
        <w:t>C</w:t>
      </w:r>
      <w:r>
        <w:rPr>
          <w:rFonts w:ascii="Arial" w:cs="Arial" w:eastAsia="Arial" w:hAnsi="Arial"/>
          <w:sz w:val="12"/>
          <w:szCs w:val="12"/>
          <w:b w:val="1"/>
          <w:bCs w:val="1"/>
          <w:color w:val="auto"/>
        </w:rPr>
        <w:t>OMPANY SHALL ISSUE TO THE HOLDERS ONE OR MORE APPROPRIATE NEW WARRANTS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66" w:name="page67"/>
    <w:bookmarkEnd w:id="66"/>
    <w:p>
      <w:pPr>
        <w:jc w:val="both"/>
        <w:ind w:left="-8" w:firstLine="8"/>
        <w:spacing w:after="0" w:line="254" w:lineRule="auto"/>
        <w:tabs>
          <w:tab w:leader="none" w:pos="199"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2"/>
          <w:szCs w:val="12"/>
          <w:b w:val="1"/>
          <w:bCs w:val="1"/>
          <w:u w:val="single" w:color="auto"/>
          <w:color w:val="auto"/>
        </w:rPr>
        <w: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2"/>
          <w:szCs w:val="12"/>
          <w:b w:val="1"/>
          <w:bCs w:val="1"/>
          <w:u w:val="single" w:color="auto"/>
          <w:color w:val="auto"/>
        </w:rPr>
        <w:t>MPAIRMENT</w:t>
      </w:r>
      <w:r>
        <w:rPr>
          <w:rFonts w:ascii="Arial" w:cs="Arial" w:eastAsia="Arial" w:hAnsi="Arial"/>
          <w:sz w:val="18"/>
          <w:szCs w:val="18"/>
          <w:b w:val="1"/>
          <w:bCs w:val="1"/>
          <w:color w:val="auto"/>
        </w:rPr>
        <w:t>.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WILL NOT</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BY AMENDMENT OF ITS CERTIFICATE OF INCORPORATION OR THROUGH ANY REORGANIZATION</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TRANSFER OF ASSETS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CONSOLIDATION</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MERGER</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DISSOLUTION</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OR ANY OTHER SIMILAR VOLUNTARY ACTION</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AVOID OR SEEK TO AVOID THE OBSERVANCE OR PERFORMANCE OF ANY OF THE TERMS OF THIS </w:t>
      </w: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BUT WILL AT ALL TIMES IN GOOD FAITH ASSIST IN THE CARRYING OUT OF ALL SUCH TERMS AND IN THE TAKING OF ALL SUCH ACTION AS MAY BE NECESSARY OR APPROPRIATE IN ORDER TO PROTECT THE RIGHTS OF THE HOLDER OF THE </w:t>
      </w:r>
      <w:r>
        <w:rPr>
          <w:rFonts w:ascii="Arial" w:cs="Arial" w:eastAsia="Arial" w:hAnsi="Arial"/>
          <w:sz w:val="18"/>
          <w:szCs w:val="18"/>
          <w:b w:val="1"/>
          <w:bCs w:val="1"/>
          <w:color w:val="auto"/>
        </w:rPr>
        <w:t>W</w:t>
      </w:r>
      <w:r>
        <w:rPr>
          <w:rFonts w:ascii="Arial" w:cs="Arial" w:eastAsia="Arial" w:hAnsi="Arial"/>
          <w:sz w:val="12"/>
          <w:szCs w:val="12"/>
          <w:b w:val="1"/>
          <w:bCs w:val="1"/>
          <w:color w:val="auto"/>
        </w:rPr>
        <w:t>ARRANT AGAINST IMPAIRMENT DUE TO SUCH EVENT</w:t>
      </w:r>
      <w:r>
        <w:rPr>
          <w:rFonts w:ascii="Arial" w:cs="Arial" w:eastAsia="Arial" w:hAnsi="Arial"/>
          <w:sz w:val="18"/>
          <w:szCs w:val="18"/>
          <w:b w:val="1"/>
          <w:bCs w:val="1"/>
          <w:color w:val="auto"/>
        </w:rPr>
        <w:t>. W</w:t>
      </w:r>
      <w:r>
        <w:rPr>
          <w:rFonts w:ascii="Arial" w:cs="Arial" w:eastAsia="Arial" w:hAnsi="Arial"/>
          <w:sz w:val="12"/>
          <w:szCs w:val="12"/>
          <w:b w:val="1"/>
          <w:bCs w:val="1"/>
          <w:color w:val="auto"/>
        </w:rPr>
        <w:t>ITHOUT LIMITING THE GENERALITY OF THE FOREGOING</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THE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OMPANY </w:t>
      </w:r>
      <w:r>
        <w:rPr>
          <w:rFonts w:ascii="Arial" w:cs="Arial" w:eastAsia="Arial" w:hAnsi="Arial"/>
          <w:sz w:val="18"/>
          <w:szCs w:val="18"/>
          <w:b w:val="1"/>
          <w:bCs w:val="1"/>
          <w:color w:val="auto"/>
        </w:rPr>
        <w:t>(</w:t>
      </w:r>
      <w:r>
        <w:rPr>
          <w:rFonts w:ascii="Arial" w:cs="Arial" w:eastAsia="Arial" w:hAnsi="Arial"/>
          <w:sz w:val="12"/>
          <w:szCs w:val="12"/>
          <w:b w:val="1"/>
          <w:bCs w:val="1"/>
          <w:color w:val="auto"/>
        </w:rPr>
        <w:t>A</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WILL NOT INCREASE THE VALUE ASSIGNED TO ANY SHARES OF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OMMON </w:t>
      </w:r>
      <w:r>
        <w:rPr>
          <w:rFonts w:ascii="Arial" w:cs="Arial" w:eastAsia="Arial" w:hAnsi="Arial"/>
          <w:sz w:val="18"/>
          <w:szCs w:val="18"/>
          <w:b w:val="1"/>
          <w:bCs w:val="1"/>
          <w:color w:val="auto"/>
        </w:rPr>
        <w:t>S</w:t>
      </w:r>
      <w:r>
        <w:rPr>
          <w:rFonts w:ascii="Arial" w:cs="Arial" w:eastAsia="Arial" w:hAnsi="Arial"/>
          <w:sz w:val="12"/>
          <w:szCs w:val="12"/>
          <w:b w:val="1"/>
          <w:bCs w:val="1"/>
          <w:color w:val="auto"/>
        </w:rPr>
        <w:t xml:space="preserve">TOCK RECEIVABLE ON THE EXERCISE OF THE </w:t>
      </w:r>
      <w:r>
        <w:rPr>
          <w:rFonts w:ascii="Arial" w:cs="Arial" w:eastAsia="Arial" w:hAnsi="Arial"/>
          <w:sz w:val="18"/>
          <w:szCs w:val="18"/>
          <w:b w:val="1"/>
          <w:bCs w:val="1"/>
          <w:color w:val="auto"/>
        </w:rPr>
        <w:t>W</w:t>
      </w:r>
      <w:r>
        <w:rPr>
          <w:rFonts w:ascii="Arial" w:cs="Arial" w:eastAsia="Arial" w:hAnsi="Arial"/>
          <w:sz w:val="12"/>
          <w:szCs w:val="12"/>
          <w:b w:val="1"/>
          <w:bCs w:val="1"/>
          <w:color w:val="auto"/>
        </w:rPr>
        <w:t>ARRANT ABOVE THE AMOUNT PAYABLE THEREFOR ON SUCH EXERCISE</w:t>
      </w:r>
      <w:r>
        <w:rPr>
          <w:rFonts w:ascii="Arial" w:cs="Arial" w:eastAsia="Arial" w:hAnsi="Arial"/>
          <w:sz w:val="18"/>
          <w:szCs w:val="18"/>
          <w:b w:val="1"/>
          <w:bCs w:val="1"/>
          <w:color w:val="auto"/>
        </w:rPr>
        <w:t>, (</w:t>
      </w:r>
      <w:r>
        <w:rPr>
          <w:rFonts w:ascii="Arial" w:cs="Arial" w:eastAsia="Arial" w:hAnsi="Arial"/>
          <w:sz w:val="12"/>
          <w:szCs w:val="12"/>
          <w:b w:val="1"/>
          <w:bCs w:val="1"/>
          <w:color w:val="auto"/>
        </w:rPr>
        <w:t>B</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WILL TAKE ALL ACTION THAT MAY BE NECESSARY OR APPROPRIATE IN ORDER THAT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MAY VALIDLY AND LEGALLY ISSUE FULLY PAID AND NONASSESSABLE SHARES OF STOCK</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FREE FROM ALL TAXES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LIENS AND CHARGES WITH RESPECT TO THE ISSUE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THEREOF</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ON THE EXERCISE OF ALL OF THE </w:t>
      </w:r>
      <w:r>
        <w:rPr>
          <w:rFonts w:ascii="Arial" w:cs="Arial" w:eastAsia="Arial" w:hAnsi="Arial"/>
          <w:sz w:val="18"/>
          <w:szCs w:val="18"/>
          <w:b w:val="1"/>
          <w:bCs w:val="1"/>
          <w:color w:val="auto"/>
        </w:rPr>
        <w:t>W</w:t>
      </w:r>
      <w:r>
        <w:rPr>
          <w:rFonts w:ascii="Arial" w:cs="Arial" w:eastAsia="Arial" w:hAnsi="Arial"/>
          <w:sz w:val="12"/>
          <w:szCs w:val="12"/>
          <w:b w:val="1"/>
          <w:bCs w:val="1"/>
          <w:color w:val="auto"/>
        </w:rPr>
        <w:t>ARRANTS FROM TIME TO TIME OUTSTANDING</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AND </w:t>
      </w:r>
      <w:r>
        <w:rPr>
          <w:rFonts w:ascii="Arial" w:cs="Arial" w:eastAsia="Arial" w:hAnsi="Arial"/>
          <w:sz w:val="18"/>
          <w:szCs w:val="18"/>
          <w:b w:val="1"/>
          <w:bCs w:val="1"/>
          <w:color w:val="auto"/>
        </w:rPr>
        <w:t>(</w:t>
      </w:r>
      <w:r>
        <w:rPr>
          <w:rFonts w:ascii="Arial" w:cs="Arial" w:eastAsia="Arial" w:hAnsi="Arial"/>
          <w:sz w:val="12"/>
          <w:szCs w:val="12"/>
          <w:b w:val="1"/>
          <w:bCs w:val="1"/>
          <w:color w:val="auto"/>
        </w:rPr>
        <w:t>C</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WILL NOT CONSOLIDATE WITH OR MERGE INTO ANY OTHER PERSON OR PERMIT ANY SUCH PERSON TO CONSOLIDATE WITH OR MERGE INTO THE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OMPANY </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IF THE </w:t>
      </w:r>
      <w:r>
        <w:rPr>
          <w:rFonts w:ascii="Arial" w:cs="Arial" w:eastAsia="Arial" w:hAnsi="Arial"/>
          <w:sz w:val="18"/>
          <w:szCs w:val="18"/>
          <w:b w:val="1"/>
          <w:bCs w:val="1"/>
          <w:color w:val="auto"/>
        </w:rPr>
        <w:t>C</w:t>
      </w:r>
      <w:r>
        <w:rPr>
          <w:rFonts w:ascii="Arial" w:cs="Arial" w:eastAsia="Arial" w:hAnsi="Arial"/>
          <w:sz w:val="12"/>
          <w:szCs w:val="12"/>
          <w:b w:val="1"/>
          <w:bCs w:val="1"/>
          <w:color w:val="auto"/>
        </w:rPr>
        <w:t>OMPANY IS NOT THE SURVIVING PERSON</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UNLESS SUCH OTHER PERSON SHALL EXPRESSLY ASSUME IN WRITING AND WILL BE BOUND BY ALL THE TERMS OF THIS </w:t>
      </w: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w:t>
      </w:r>
    </w:p>
    <w:p>
      <w:pPr>
        <w:spacing w:after="0" w:line="186" w:lineRule="exact"/>
        <w:rPr>
          <w:rFonts w:ascii="Arial" w:cs="Arial" w:eastAsia="Arial" w:hAnsi="Arial"/>
          <w:sz w:val="18"/>
          <w:szCs w:val="18"/>
          <w:color w:val="auto"/>
        </w:rPr>
      </w:pPr>
    </w:p>
    <w:p>
      <w:pPr>
        <w:jc w:val="both"/>
        <w:ind w:left="-8" w:firstLine="8"/>
        <w:spacing w:after="0" w:line="266" w:lineRule="auto"/>
        <w:tabs>
          <w:tab w:leader="none" w:pos="199"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2"/>
          <w:szCs w:val="12"/>
          <w:b w:val="1"/>
          <w:bCs w:val="1"/>
          <w:u w:val="single" w:color="auto"/>
          <w:color w:val="auto"/>
        </w:rPr>
        <w:t>OTICES</w:t>
      </w:r>
      <w:r>
        <w:rPr>
          <w:rFonts w:ascii="Arial" w:cs="Arial" w:eastAsia="Arial" w:hAnsi="Arial"/>
          <w:sz w:val="18"/>
          <w:szCs w:val="18"/>
          <w:b w:val="1"/>
          <w:bCs w:val="1"/>
          <w:color w:val="auto"/>
        </w:rPr>
        <w:t>. A</w:t>
      </w:r>
      <w:r>
        <w:rPr>
          <w:rFonts w:ascii="Arial" w:cs="Arial" w:eastAsia="Arial" w:hAnsi="Arial"/>
          <w:sz w:val="12"/>
          <w:szCs w:val="12"/>
          <w:b w:val="1"/>
          <w:bCs w:val="1"/>
          <w:color w:val="auto"/>
        </w:rPr>
        <w:t>NY NOTICE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REQUEST</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COMMUNICATION OR OTHER DOCUMENT REQUIRED OR PERMITTED TO BE GIVEN OR DELIVERED TO THE HOLDER HEREOF OR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SHALL BE DELIVERED</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OR SHALL BE SENT BY CERTIFIED OR REGISTERED MAIL</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POSTAGE PREPAID</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TO EACH SUCH HOLDER AT ITS ADDRESS AS SHOWN ON THE BOOKS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 xml:space="preserve">OF THE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OMPANY OR TO THE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OMPANY AT THE ADDRESS INDICATED THEREFOR ON THE SIGNATURE PAGE OF THIS </w:t>
      </w: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w:t>
      </w:r>
    </w:p>
    <w:p>
      <w:pPr>
        <w:spacing w:after="0" w:line="176" w:lineRule="exact"/>
        <w:rPr>
          <w:rFonts w:ascii="Arial" w:cs="Arial" w:eastAsia="Arial" w:hAnsi="Arial"/>
          <w:sz w:val="18"/>
          <w:szCs w:val="18"/>
          <w:color w:val="auto"/>
        </w:rPr>
      </w:pPr>
    </w:p>
    <w:p>
      <w:pPr>
        <w:jc w:val="both"/>
        <w:ind w:left="-8" w:firstLine="8"/>
        <w:spacing w:after="0" w:line="261" w:lineRule="auto"/>
        <w:tabs>
          <w:tab w:leader="none" w:pos="186"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W</w:t>
      </w:r>
      <w:r>
        <w:rPr>
          <w:rFonts w:ascii="Arial" w:cs="Arial" w:eastAsia="Arial" w:hAnsi="Arial"/>
          <w:sz w:val="12"/>
          <w:szCs w:val="12"/>
          <w:b w:val="1"/>
          <w:bCs w:val="1"/>
          <w:u w:val="single" w:color="auto"/>
          <w:color w:val="auto"/>
        </w:rPr>
        <w:t>AIVERS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2"/>
          <w:szCs w:val="12"/>
          <w:b w:val="1"/>
          <w:bCs w:val="1"/>
          <w:u w:val="single" w:color="auto"/>
          <w:color w:val="auto"/>
        </w:rPr>
        <w:t>ODIFICATIONS</w:t>
      </w:r>
      <w:r>
        <w:rPr>
          <w:rFonts w:ascii="Arial" w:cs="Arial" w:eastAsia="Arial" w:hAnsi="Arial"/>
          <w:sz w:val="18"/>
          <w:szCs w:val="18"/>
          <w:b w:val="1"/>
          <w:bCs w:val="1"/>
          <w:color w:val="auto"/>
        </w:rPr>
        <w:t>. A</w:t>
      </w:r>
      <w:r>
        <w:rPr>
          <w:rFonts w:ascii="Arial" w:cs="Arial" w:eastAsia="Arial" w:hAnsi="Arial"/>
          <w:sz w:val="12"/>
          <w:szCs w:val="12"/>
          <w:b w:val="1"/>
          <w:bCs w:val="1"/>
          <w:color w:val="auto"/>
        </w:rPr>
        <w:t>NY TERM OR PROVISION OF THIS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 MAY BE AMENDED OR MODIFIED</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AND ANY TERM OR PROVISION HEREOF MAY BE WAIVED</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EITHER GENERALLY OR IN A PARTICULAR INSTANCE AND EITHER RETROACTIVELY OR PROSPECTIVELY</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WITH THE WRITTEN CONSENT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AND THE</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w:t>
      </w:r>
      <w:r>
        <w:rPr>
          <w:rFonts w:ascii="Arial" w:cs="Arial" w:eastAsia="Arial" w:hAnsi="Arial"/>
          <w:sz w:val="18"/>
          <w:szCs w:val="18"/>
          <w:b w:val="1"/>
          <w:bCs w:val="1"/>
          <w:color w:val="auto"/>
        </w:rPr>
        <w:t>.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WAIVERS OF ANY TERM</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CONDITION OR PROVISION OF THIS </w:t>
      </w: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IN ANY ONE OR MORE INSTANCES</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SHALL BE DEEMED TO BE</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OR CONSTRUED AS</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A FURTHER OR CONTINUING WAIVER OF ANY SUCH TERM</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CONDITION OR PROVISION</w:t>
      </w:r>
      <w:r>
        <w:rPr>
          <w:rFonts w:ascii="Arial" w:cs="Arial" w:eastAsia="Arial" w:hAnsi="Arial"/>
          <w:sz w:val="18"/>
          <w:szCs w:val="18"/>
          <w:b w:val="1"/>
          <w:bCs w:val="1"/>
          <w:color w:val="auto"/>
        </w:rPr>
        <w:t>.</w:t>
      </w:r>
    </w:p>
    <w:p>
      <w:pPr>
        <w:spacing w:after="0" w:line="180" w:lineRule="exact"/>
        <w:rPr>
          <w:rFonts w:ascii="Arial" w:cs="Arial" w:eastAsia="Arial" w:hAnsi="Arial"/>
          <w:sz w:val="18"/>
          <w:szCs w:val="18"/>
          <w:color w:val="auto"/>
        </w:rPr>
      </w:pPr>
    </w:p>
    <w:p>
      <w:pPr>
        <w:ind w:left="-8" w:firstLine="8"/>
        <w:spacing w:after="0" w:line="282" w:lineRule="auto"/>
        <w:tabs>
          <w:tab w:leader="none" w:pos="172"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H</w:t>
      </w:r>
      <w:r>
        <w:rPr>
          <w:rFonts w:ascii="Arial" w:cs="Arial" w:eastAsia="Arial" w:hAnsi="Arial"/>
          <w:sz w:val="12"/>
          <w:szCs w:val="12"/>
          <w:b w:val="1"/>
          <w:bCs w:val="1"/>
          <w:u w:val="single" w:color="auto"/>
          <w:color w:val="auto"/>
        </w:rPr>
        <w:t>EADINGS</w:t>
      </w:r>
      <w:r>
        <w:rPr>
          <w:rFonts w:ascii="Arial" w:cs="Arial" w:eastAsia="Arial" w:hAnsi="Arial"/>
          <w:sz w:val="18"/>
          <w:szCs w:val="18"/>
          <w:b w:val="1"/>
          <w:bCs w:val="1"/>
          <w:color w:val="auto"/>
        </w:rPr>
        <w:t>. T</w:t>
      </w:r>
      <w:r>
        <w:rPr>
          <w:rFonts w:ascii="Arial" w:cs="Arial" w:eastAsia="Arial" w:hAnsi="Arial"/>
          <w:sz w:val="12"/>
          <w:szCs w:val="12"/>
          <w:b w:val="1"/>
          <w:bCs w:val="1"/>
          <w:color w:val="auto"/>
        </w:rPr>
        <w:t>HE HEADINGS IN THIS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 ARE FOR CONVENIENCE OF REFERENCE ONLY AND SHALL IN NO WAY MODIFY OR AFFECT THE MEANING OR CONSTRUCTION OF</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 xml:space="preserve">ANY OF THE TERMS OR PROVISIONS OF THIS </w:t>
      </w: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color w:val="auto"/>
        </w:rPr>
      </w:pPr>
    </w:p>
    <w:p>
      <w:pPr>
        <w:ind w:left="-8" w:firstLine="8"/>
        <w:spacing w:after="0" w:line="282" w:lineRule="auto"/>
        <w:tabs>
          <w:tab w:leader="none" w:pos="262"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G</w:t>
      </w:r>
      <w:r>
        <w:rPr>
          <w:rFonts w:ascii="Arial" w:cs="Arial" w:eastAsia="Arial" w:hAnsi="Arial"/>
          <w:sz w:val="12"/>
          <w:szCs w:val="12"/>
          <w:b w:val="1"/>
          <w:bCs w:val="1"/>
          <w:u w:val="single" w:color="auto"/>
          <w:color w:val="auto"/>
        </w:rPr>
        <w:t>OVERNING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AW</w:t>
      </w:r>
      <w:r>
        <w:rPr>
          <w:rFonts w:ascii="Arial" w:cs="Arial" w:eastAsia="Arial" w:hAnsi="Arial"/>
          <w:sz w:val="18"/>
          <w:szCs w:val="18"/>
          <w:b w:val="1"/>
          <w:bCs w:val="1"/>
          <w:color w:val="auto"/>
        </w:rPr>
        <w:t>.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 WILL BE GOVERNED BY AND CONSTRUED IN ACCORDANCE WITH AND GOVERNED BY THE LAWS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ELAWARE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WITHOUT</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GIVING EFFECT TO THE CONFLICT OF LAW PRINCIPLES THEREOF</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88"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I</w:t>
      </w:r>
      <w:r>
        <w:rPr>
          <w:rFonts w:ascii="Arial" w:cs="Arial" w:eastAsia="Arial" w:hAnsi="Arial"/>
          <w:sz w:val="16"/>
          <w:szCs w:val="16"/>
          <w:b w:val="1"/>
          <w:bCs w:val="1"/>
          <w:color w:val="auto"/>
        </w:rPr>
        <w:t>N WITNESS WHEREOF</w:t>
      </w:r>
      <w:r>
        <w:rPr>
          <w:rFonts w:ascii="Arial" w:cs="Arial" w:eastAsia="Arial" w:hAnsi="Arial"/>
          <w:sz w:val="16"/>
          <w:szCs w:val="16"/>
          <w:color w:val="auto"/>
        </w:rPr>
        <w:t>, Celsion Corporation caused this Warrant to be executed by an officer thereunto duly authorized.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997 Lenox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Lawrenceville, NJ 0864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FORM</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CELSION CORPORATION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997 Lenox Drive, Suite 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Lawrenceville, NJ 0864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pursuant to the provisions set forth in the attached Warrant No. 2019-001, hereby irrevocably elects to (check one):</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83"/>
              </w:rPr>
              <w:t>_____</w:t>
            </w:r>
          </w:p>
        </w:tc>
        <w:tc>
          <w:tcPr>
            <w:tcW w:w="9460" w:type="dxa"/>
            <w:vAlign w:val="bottom"/>
            <w:gridSpan w:val="3"/>
          </w:tcPr>
          <w:p>
            <w:pPr>
              <w:ind w:left="340"/>
              <w:spacing w:after="0"/>
              <w:rPr>
                <w:sz w:val="20"/>
                <w:szCs w:val="20"/>
                <w:color w:val="auto"/>
              </w:rPr>
            </w:pPr>
            <w:r>
              <w:rPr>
                <w:rFonts w:ascii="Arial" w:cs="Arial" w:eastAsia="Arial" w:hAnsi="Arial"/>
                <w:sz w:val="18"/>
                <w:szCs w:val="18"/>
                <w:color w:val="auto"/>
                <w:w w:val="92"/>
              </w:rPr>
              <w:t>(A) purchase ________ shares of Common Stock, par value $0.01 per share, of Celsion Corporation (the “Common Stock”),</w:t>
            </w:r>
          </w:p>
        </w:tc>
      </w:tr>
      <w:tr>
        <w:trPr>
          <w:trHeight w:val="20"/>
        </w:trPr>
        <w:tc>
          <w:tcPr>
            <w:tcW w:w="80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800" w:type="dxa"/>
            <w:vAlign w:val="bottom"/>
          </w:tcPr>
          <w:p>
            <w:pPr>
              <w:spacing w:after="0"/>
              <w:rPr>
                <w:sz w:val="19"/>
                <w:szCs w:val="19"/>
                <w:color w:val="auto"/>
              </w:rPr>
            </w:pPr>
          </w:p>
        </w:tc>
        <w:tc>
          <w:tcPr>
            <w:tcW w:w="9460" w:type="dxa"/>
            <w:vAlign w:val="bottom"/>
            <w:gridSpan w:val="3"/>
          </w:tcPr>
          <w:p>
            <w:pPr>
              <w:ind w:left="340"/>
              <w:spacing w:after="0"/>
              <w:rPr>
                <w:sz w:val="20"/>
                <w:szCs w:val="20"/>
                <w:color w:val="auto"/>
              </w:rPr>
            </w:pPr>
            <w:r>
              <w:rPr>
                <w:rFonts w:ascii="Arial" w:cs="Arial" w:eastAsia="Arial" w:hAnsi="Arial"/>
                <w:sz w:val="18"/>
                <w:szCs w:val="18"/>
                <w:color w:val="auto"/>
                <w:w w:val="92"/>
              </w:rPr>
              <w:t>covered by such Warrant and herewith makes payment of $________, representing the full exercise price for such shares at</w:t>
            </w:r>
          </w:p>
        </w:tc>
      </w:tr>
      <w:tr>
        <w:trPr>
          <w:trHeight w:val="230"/>
        </w:trPr>
        <w:tc>
          <w:tcPr>
            <w:tcW w:w="800" w:type="dxa"/>
            <w:vAlign w:val="bottom"/>
          </w:tcPr>
          <w:p>
            <w:pPr>
              <w:spacing w:after="0"/>
              <w:rPr>
                <w:sz w:val="20"/>
                <w:szCs w:val="20"/>
                <w:color w:val="auto"/>
              </w:rPr>
            </w:pPr>
          </w:p>
        </w:tc>
        <w:tc>
          <w:tcPr>
            <w:tcW w:w="9460" w:type="dxa"/>
            <w:vAlign w:val="bottom"/>
            <w:gridSpan w:val="3"/>
          </w:tcPr>
          <w:p>
            <w:pPr>
              <w:ind w:left="340"/>
              <w:spacing w:after="0"/>
              <w:rPr>
                <w:sz w:val="20"/>
                <w:szCs w:val="20"/>
                <w:color w:val="auto"/>
              </w:rPr>
            </w:pPr>
            <w:r>
              <w:rPr>
                <w:rFonts w:ascii="Arial" w:cs="Arial" w:eastAsia="Arial" w:hAnsi="Arial"/>
                <w:sz w:val="18"/>
                <w:szCs w:val="18"/>
                <w:color w:val="auto"/>
              </w:rPr>
              <w:t>the price per share provided for in such Warrant; or</w:t>
            </w:r>
          </w:p>
        </w:tc>
      </w:tr>
      <w:tr>
        <w:trPr>
          <w:trHeight w:val="418"/>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83"/>
              </w:rPr>
              <w:t>_____</w:t>
            </w:r>
          </w:p>
        </w:tc>
        <w:tc>
          <w:tcPr>
            <w:tcW w:w="9460" w:type="dxa"/>
            <w:vAlign w:val="bottom"/>
            <w:gridSpan w:val="3"/>
          </w:tcPr>
          <w:p>
            <w:pPr>
              <w:ind w:left="340"/>
              <w:spacing w:after="0"/>
              <w:rPr>
                <w:sz w:val="20"/>
                <w:szCs w:val="20"/>
                <w:color w:val="auto"/>
              </w:rPr>
            </w:pPr>
            <w:r>
              <w:rPr>
                <w:rFonts w:ascii="Arial" w:cs="Arial" w:eastAsia="Arial" w:hAnsi="Arial"/>
                <w:sz w:val="18"/>
                <w:szCs w:val="18"/>
                <w:color w:val="auto"/>
                <w:w w:val="96"/>
              </w:rPr>
              <w:t>(B) convert ________ Converted Warrant Shares into that number of shares of fully paid and nonassessable shares of</w:t>
            </w:r>
          </w:p>
        </w:tc>
      </w:tr>
      <w:tr>
        <w:trPr>
          <w:trHeight w:val="230"/>
        </w:trPr>
        <w:tc>
          <w:tcPr>
            <w:tcW w:w="800" w:type="dxa"/>
            <w:vAlign w:val="bottom"/>
          </w:tcPr>
          <w:p>
            <w:pPr>
              <w:spacing w:after="0"/>
              <w:rPr>
                <w:sz w:val="20"/>
                <w:szCs w:val="20"/>
                <w:color w:val="auto"/>
              </w:rPr>
            </w:pPr>
          </w:p>
        </w:tc>
        <w:tc>
          <w:tcPr>
            <w:tcW w:w="9460" w:type="dxa"/>
            <w:vAlign w:val="bottom"/>
            <w:gridSpan w:val="3"/>
          </w:tcPr>
          <w:p>
            <w:pPr>
              <w:ind w:left="340"/>
              <w:spacing w:after="0"/>
              <w:rPr>
                <w:sz w:val="20"/>
                <w:szCs w:val="20"/>
                <w:color w:val="auto"/>
              </w:rPr>
            </w:pPr>
            <w:r>
              <w:rPr>
                <w:rFonts w:ascii="Arial" w:cs="Arial" w:eastAsia="Arial" w:hAnsi="Arial"/>
                <w:sz w:val="18"/>
                <w:szCs w:val="18"/>
                <w:color w:val="auto"/>
              </w:rPr>
              <w:t>Common Stock, determined pursuant to the provisions of Section 1.5 of the Warrant.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of Common Stock for which the Warrant may be exercised or converted shall be known herein as the “Warrant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is aware that the Warrant Stock has not been and will not be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any state securities laws. The undersigned understands that reliance by the Company on exemptions under the Securities Act is predicated in part upon the truth and accuracy of the statements of the undersigned in this Purchase Form.</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undersigned represents and warrants that (1) it has been furnished with all information which it deems necessary to evaluate the merits and risks of the purchase of the Warrant Stock, (2) it has had the opportunity to ask questions concerning the Warrant Stock and the Company and all questions posed have been answered to its satisfaction, (3) it has been given the opportunity to obtain any additional information it deems necessary to verify the accuracy of any information obtained concerning the Warrant Stock and the Company and (4) it has such knowledge and experience in financial and business matters that it is able to evaluate the merits and risks of purchasing the Warrant Stock and to make an informed investment decision relating thereto.</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undersigned hereby represents and warrant that it is purchasing the Warrant Stock for its own account for investment and not with a view to the sale or distribution of all or any part of the Warrant Stock.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understands that because the Warrant Stock has not been registered under the Securities Act, it must continue to bear the economic risk of the investment for an indefinite period of time and the Warrant Stock cannot be sold unless it is subsequently registered under applicable federal and state securities laws or an exemption from such registration is available.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undersigned agrees that it will in no event sell or distribute or otherwise dispose of all or any part of the Warrant Stock unless (1) there is an effective registration statement under the Securities Act and applicable state securities laws covering any such transaction involving the Warrant Stock, or (2) the Company receives an opinion satisfactory to the Company of the undersigned’s legal counsel stating that such transaction is exempt from registration. The undersigned consents to the placing of a legend on its certificate for the Warrant Stock stating that the Warrant Stock has not been registered and setting forth the restriction on transfer contemplated hereby and to the placing of a stop transfer order on the books of the Company and with any transfer agents against the Warrant Stock until the Warrant Stock may be legally resold or distributed without restriction.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undersigned has considered the federal and state income tax implications of the exercise of the Warrant and the purchase and subsequent sale of the Warrant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SECOND AMENDMENT TO LEASE</w:t>
      </w:r>
    </w:p>
    <w:p>
      <w:pPr>
        <w:spacing w:after="0" w:line="225" w:lineRule="exact"/>
        <w:rPr>
          <w:sz w:val="20"/>
          <w:szCs w:val="20"/>
          <w:color w:val="auto"/>
        </w:rPr>
      </w:pPr>
    </w:p>
    <w:p>
      <w:pPr>
        <w:jc w:val="both"/>
        <w:ind w:firstLine="635"/>
        <w:spacing w:after="0" w:line="261" w:lineRule="auto"/>
        <w:rPr>
          <w:sz w:val="20"/>
          <w:szCs w:val="20"/>
          <w:color w:val="auto"/>
        </w:rPr>
      </w:pPr>
      <w:r>
        <w:rPr>
          <w:rFonts w:ascii="Arial" w:cs="Arial" w:eastAsia="Arial" w:hAnsi="Arial"/>
          <w:sz w:val="18"/>
          <w:szCs w:val="18"/>
          <w:b w:val="1"/>
          <w:bCs w:val="1"/>
          <w:color w:val="auto"/>
        </w:rPr>
        <w:t xml:space="preserve">THIS SECOND AMENDMENT TO LEASE (“Second Amendment”) </w:t>
      </w:r>
      <w:r>
        <w:rPr>
          <w:rFonts w:ascii="Arial" w:cs="Arial" w:eastAsia="Arial" w:hAnsi="Arial"/>
          <w:sz w:val="18"/>
          <w:szCs w:val="18"/>
          <w:color w:val="auto"/>
        </w:rPr>
        <w:t>dated January 9, 2019 between</w:t>
      </w:r>
      <w:r>
        <w:rPr>
          <w:rFonts w:ascii="Arial" w:cs="Arial" w:eastAsia="Arial" w:hAnsi="Arial"/>
          <w:sz w:val="18"/>
          <w:szCs w:val="18"/>
          <w:b w:val="1"/>
          <w:bCs w:val="1"/>
          <w:color w:val="auto"/>
        </w:rPr>
        <w:t xml:space="preserve"> LENOX DRIVE OFFICE PARK, LLC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Delaware limited liability company with an office at c/o JFR Global, 2329 Nostrand Avenue, Suite 200, Brooklyn, New York 1 1210, successor in interest to Brandywine Operating Partnership, L.P. (“Landlord”) and </w:t>
      </w:r>
      <w:r>
        <w:rPr>
          <w:rFonts w:ascii="Arial" w:cs="Arial" w:eastAsia="Arial" w:hAnsi="Arial"/>
          <w:sz w:val="18"/>
          <w:szCs w:val="18"/>
          <w:b w:val="1"/>
          <w:bCs w:val="1"/>
          <w:color w:val="auto"/>
        </w:rPr>
        <w:t>CELSION CORPORATION,</w:t>
      </w:r>
      <w:r>
        <w:rPr>
          <w:rFonts w:ascii="Arial" w:cs="Arial" w:eastAsia="Arial" w:hAnsi="Arial"/>
          <w:sz w:val="18"/>
          <w:szCs w:val="18"/>
          <w:color w:val="auto"/>
        </w:rPr>
        <w:t xml:space="preserve"> a Delaware Corporation limited liability company having an address at 997 Lenox Drive, Suite 1 00, Lawrenceville, New Jersey 08648 (“Tenant”).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jc w:val="both"/>
        <w:ind w:firstLine="63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a certain Lease dated July 14, 2011 (the</w:t>
      </w:r>
      <w:r>
        <w:rPr>
          <w:rFonts w:ascii="Arial" w:cs="Arial" w:eastAsia="Arial" w:hAnsi="Arial"/>
          <w:sz w:val="18"/>
          <w:szCs w:val="18"/>
          <w:b w:val="1"/>
          <w:bCs w:val="1"/>
          <w:color w:val="auto"/>
        </w:rPr>
        <w:t xml:space="preserve"> “Original Lease”</w:t>
      </w:r>
      <w:r>
        <w:rPr>
          <w:rFonts w:ascii="Arial" w:cs="Arial" w:eastAsia="Arial" w:hAnsi="Arial"/>
          <w:sz w:val="18"/>
          <w:szCs w:val="18"/>
          <w:color w:val="auto"/>
        </w:rPr>
        <w:t>), Tenant leased an agreed upon 10,870 rentable square feet</w:t>
      </w:r>
      <w:r>
        <w:rPr>
          <w:rFonts w:ascii="Arial" w:cs="Arial" w:eastAsia="Arial" w:hAnsi="Arial"/>
          <w:sz w:val="18"/>
          <w:szCs w:val="18"/>
          <w:b w:val="1"/>
          <w:bCs w:val="1"/>
          <w:color w:val="auto"/>
        </w:rPr>
        <w:t xml:space="preserve"> </w:t>
      </w:r>
      <w:r>
        <w:rPr>
          <w:rFonts w:ascii="Arial" w:cs="Arial" w:eastAsia="Arial" w:hAnsi="Arial"/>
          <w:sz w:val="18"/>
          <w:szCs w:val="18"/>
          <w:color w:val="auto"/>
        </w:rPr>
        <w:t>(“rsf”) of space on the first floor of the office building located at 997 Lenox Drive, Lawrenceville, New Jersey (the “Building”), and</w:t>
      </w:r>
    </w:p>
    <w:p>
      <w:pPr>
        <w:spacing w:after="0" w:line="162" w:lineRule="exact"/>
        <w:rPr>
          <w:sz w:val="20"/>
          <w:szCs w:val="20"/>
          <w:color w:val="auto"/>
        </w:rPr>
      </w:pPr>
    </w:p>
    <w:p>
      <w:pPr>
        <w:jc w:val="both"/>
        <w:ind w:firstLine="63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a First Amendment to Lease dated April, 2017, Landlord and Tenant agreed to a reduction in the square footage resulting in</w:t>
      </w:r>
      <w:r>
        <w:rPr>
          <w:rFonts w:ascii="Arial" w:cs="Arial" w:eastAsia="Arial" w:hAnsi="Arial"/>
          <w:sz w:val="18"/>
          <w:szCs w:val="18"/>
          <w:b w:val="1"/>
          <w:bCs w:val="1"/>
          <w:color w:val="auto"/>
        </w:rPr>
        <w:t xml:space="preserve"> </w:t>
      </w:r>
      <w:r>
        <w:rPr>
          <w:rFonts w:ascii="Arial" w:cs="Arial" w:eastAsia="Arial" w:hAnsi="Arial"/>
          <w:sz w:val="18"/>
          <w:szCs w:val="18"/>
          <w:color w:val="auto"/>
        </w:rPr>
        <w:t>a leased premises comprised of an agreed upon 7,565 rsf (the “Existing Premises”) and to an extension of the term of the Original Lease; the Original Lease and the First Amendment to Lease shall be collectively referred to as the “Lease”; and</w:t>
      </w:r>
    </w:p>
    <w:p>
      <w:pPr>
        <w:spacing w:after="0" w:line="176" w:lineRule="exact"/>
        <w:rPr>
          <w:sz w:val="20"/>
          <w:szCs w:val="20"/>
          <w:color w:val="auto"/>
        </w:rPr>
      </w:pPr>
    </w:p>
    <w:p>
      <w:pPr>
        <w:jc w:val="both"/>
        <w:ind w:firstLine="635"/>
        <w:spacing w:after="0" w:line="22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and Tenant now wish to (i) increase the size of the Existing Premises to add additional rentable square feet in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2,285 rsf (the “Expansion Premises”) which is adjacent to the Existing Premises on the first ( l </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 floor of the Building; (ii) extend the term of the Lease as amended by this Second Amendment for an additional twelve (12) month period calculated from the current expiration date of the Lease, and (iii) implement such other terms and provisions as agreed to by the parties hereto; and</w:t>
      </w:r>
    </w:p>
    <w:p>
      <w:pPr>
        <w:spacing w:after="0" w:line="199" w:lineRule="exact"/>
        <w:rPr>
          <w:sz w:val="20"/>
          <w:szCs w:val="20"/>
          <w:color w:val="auto"/>
        </w:rPr>
      </w:pPr>
    </w:p>
    <w:p>
      <w:pPr>
        <w:jc w:val="both"/>
        <w:ind w:firstLine="635"/>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Landlord and Tenant mutually agree in this Second Amendment to implement the terms of the expansion and extension as well as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such other modifications as are herein agreed in order to accomplish and complement the foregoing, all as set forth herein below.</w:t>
      </w:r>
    </w:p>
    <w:p>
      <w:pPr>
        <w:spacing w:after="0" w:line="138" w:lineRule="exact"/>
        <w:rPr>
          <w:sz w:val="20"/>
          <w:szCs w:val="20"/>
          <w:color w:val="auto"/>
        </w:rPr>
      </w:pPr>
    </w:p>
    <w:p>
      <w:pPr>
        <w:jc w:val="both"/>
        <w:ind w:firstLine="635"/>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mutual covenants hereinafter contained,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Landlord and Tenant hereby agree as follows:</w:t>
      </w:r>
    </w:p>
    <w:p>
      <w:pPr>
        <w:spacing w:after="0" w:line="162" w:lineRule="exact"/>
        <w:rPr>
          <w:sz w:val="20"/>
          <w:szCs w:val="20"/>
          <w:color w:val="auto"/>
        </w:rPr>
      </w:pPr>
    </w:p>
    <w:p>
      <w:pPr>
        <w:jc w:val="both"/>
        <w:ind w:firstLine="643"/>
        <w:spacing w:after="0" w:line="303" w:lineRule="auto"/>
        <w:tabs>
          <w:tab w:leader="none" w:pos="815"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Incorporation of Recitals; Capitalized Terms. </w:t>
      </w:r>
      <w:r>
        <w:rPr>
          <w:rFonts w:ascii="Arial" w:cs="Arial" w:eastAsia="Arial" w:hAnsi="Arial"/>
          <w:sz w:val="16"/>
          <w:szCs w:val="16"/>
          <w:color w:val="auto"/>
        </w:rPr>
        <w:t>The recitals set forth above, the Lease, and the exhibits attached thereto are hereby incorporated</w:t>
      </w:r>
      <w:r>
        <w:rPr>
          <w:rFonts w:ascii="Arial" w:cs="Arial" w:eastAsia="Arial" w:hAnsi="Arial"/>
          <w:sz w:val="16"/>
          <w:szCs w:val="16"/>
          <w:b w:val="1"/>
          <w:bCs w:val="1"/>
          <w:color w:val="auto"/>
        </w:rPr>
        <w:t xml:space="preserve"> </w:t>
      </w:r>
      <w:r>
        <w:rPr>
          <w:rFonts w:ascii="Arial" w:cs="Arial" w:eastAsia="Arial" w:hAnsi="Arial"/>
          <w:sz w:val="16"/>
          <w:szCs w:val="16"/>
          <w:color w:val="auto"/>
        </w:rPr>
        <w:t>by reference into this Second Amendment. For sake of clarity any reference in the Lease to the Building, Premises, Term, and Landlord shall mean references to those terms identified in this Second Amendment. For purposes of this Second Amendment, except where the context otherwise requires, the Second Amendment, First Amendment and the Original Lease shall be referred to collectively from time to time as the “Lease as Amended.”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both"/>
        <w:ind w:firstLine="643"/>
        <w:spacing w:after="0" w:line="303" w:lineRule="auto"/>
        <w:tabs>
          <w:tab w:leader="none" w:pos="815" w:val="left"/>
        </w:tabs>
        <w:numPr>
          <w:ilvl w:val="1"/>
          <w:numId w:val="34"/>
        </w:numPr>
        <w:rPr>
          <w:rFonts w:ascii="Arial" w:cs="Arial" w:eastAsia="Arial" w:hAnsi="Arial"/>
          <w:sz w:val="16"/>
          <w:szCs w:val="16"/>
          <w:color w:val="auto"/>
        </w:rPr>
      </w:pPr>
      <w:r>
        <w:rPr>
          <w:rFonts w:ascii="Arial" w:cs="Arial" w:eastAsia="Arial" w:hAnsi="Arial"/>
          <w:sz w:val="16"/>
          <w:szCs w:val="16"/>
          <w:b w:val="1"/>
          <w:bCs w:val="1"/>
          <w:color w:val="auto"/>
        </w:rPr>
        <w:t>Demised Premises</w:t>
      </w:r>
      <w:r>
        <w:rPr>
          <w:rFonts w:ascii="Arial" w:cs="Arial" w:eastAsia="Arial" w:hAnsi="Arial"/>
          <w:sz w:val="16"/>
          <w:szCs w:val="16"/>
          <w:color w:val="auto"/>
        </w:rPr>
        <w:t>. Landlord and Tenant agree that effective February l, 2019 the premises leased by Tenant shall be comprised of the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and Expansion Premises for a total demised premises of 9,850 rsf (the “Demised Premises”). A floor plan showing the Demised Premises (which identifies Expansion Premises and the Existing Premises) is attached hereto and incorporated herein as Schedule A. The parties agree that the Demised Premises shall be referred to as Suite 104 and the Expansion Premises and the Existing Premises shall be deemed one integrated unit</w:t>
      </w:r>
    </w:p>
    <w:p>
      <w:pPr>
        <w:spacing w:after="0" w:line="151" w:lineRule="exact"/>
        <w:rPr>
          <w:rFonts w:ascii="Arial" w:cs="Arial" w:eastAsia="Arial" w:hAnsi="Arial"/>
          <w:sz w:val="16"/>
          <w:szCs w:val="16"/>
          <w:color w:val="auto"/>
        </w:rPr>
      </w:pPr>
    </w:p>
    <w:p>
      <w:pPr>
        <w:jc w:val="both"/>
        <w:ind w:firstLine="643"/>
        <w:spacing w:after="0" w:line="261" w:lineRule="auto"/>
        <w:tabs>
          <w:tab w:leader="none" w:pos="828" w:val="left"/>
        </w:tabs>
        <w:numPr>
          <w:ilvl w:val="1"/>
          <w:numId w:val="34"/>
        </w:numPr>
        <w:rPr>
          <w:rFonts w:ascii="Arial" w:cs="Arial" w:eastAsia="Arial" w:hAnsi="Arial"/>
          <w:sz w:val="18"/>
          <w:szCs w:val="18"/>
          <w:color w:val="auto"/>
        </w:rPr>
      </w:pPr>
      <w:r>
        <w:rPr>
          <w:rFonts w:ascii="Arial" w:cs="Arial" w:eastAsia="Arial" w:hAnsi="Arial"/>
          <w:sz w:val="18"/>
          <w:szCs w:val="18"/>
          <w:b w:val="1"/>
          <w:bCs w:val="1"/>
          <w:color w:val="auto"/>
        </w:rPr>
        <w:t>Commencement Date/Term/Expiration Date</w:t>
      </w:r>
      <w:r>
        <w:rPr>
          <w:rFonts w:ascii="Arial" w:cs="Arial" w:eastAsia="Arial" w:hAnsi="Arial"/>
          <w:sz w:val="18"/>
          <w:szCs w:val="18"/>
          <w:color w:val="auto"/>
        </w:rPr>
        <w:t>. The parties agree that the Commencement Date applicable to the Lease as Amended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February l, 2019 (the </w:t>
      </w:r>
      <w:r>
        <w:rPr>
          <w:rFonts w:ascii="Arial" w:cs="Arial" w:eastAsia="Arial" w:hAnsi="Arial"/>
          <w:sz w:val="18"/>
          <w:szCs w:val="18"/>
          <w:b w:val="1"/>
          <w:bCs w:val="1"/>
          <w:color w:val="auto"/>
        </w:rPr>
        <w:t>“Commencement Date”</w:t>
      </w:r>
      <w:r>
        <w:rPr>
          <w:rFonts w:ascii="Arial" w:cs="Arial" w:eastAsia="Arial" w:hAnsi="Arial"/>
          <w:sz w:val="18"/>
          <w:szCs w:val="18"/>
          <w:color w:val="auto"/>
        </w:rPr>
        <w:t xml:space="preserve">). The parties further agree that the term for the Demised Premises shall be extended by twelve (12) months and as result the Expiration Date for the Lease as Amended shall be August 31, 2023 (the </w:t>
      </w:r>
      <w:r>
        <w:rPr>
          <w:rFonts w:ascii="Arial" w:cs="Arial" w:eastAsia="Arial" w:hAnsi="Arial"/>
          <w:sz w:val="18"/>
          <w:szCs w:val="18"/>
          <w:b w:val="1"/>
          <w:bCs w:val="1"/>
          <w:color w:val="auto"/>
        </w:rPr>
        <w:t>“Expiration Date”</w:t>
      </w:r>
      <w:r>
        <w:rPr>
          <w:rFonts w:ascii="Arial" w:cs="Arial" w:eastAsia="Arial" w:hAnsi="Arial"/>
          <w:sz w:val="18"/>
          <w:szCs w:val="18"/>
          <w:color w:val="auto"/>
        </w:rPr>
        <w:t>). From the date hereof until February l, 2019, the Lease shall continue unchanged with respect to the Existing Premises.</w:t>
      </w:r>
    </w:p>
    <w:p>
      <w:pPr>
        <w:spacing w:after="0" w:line="180" w:lineRule="exact"/>
        <w:rPr>
          <w:rFonts w:ascii="Arial" w:cs="Arial" w:eastAsia="Arial" w:hAnsi="Arial"/>
          <w:sz w:val="18"/>
          <w:szCs w:val="18"/>
          <w:color w:val="auto"/>
        </w:rPr>
      </w:pPr>
    </w:p>
    <w:p>
      <w:pPr>
        <w:ind w:firstLine="643"/>
        <w:spacing w:after="0" w:line="313" w:lineRule="auto"/>
        <w:tabs>
          <w:tab w:leader="none" w:pos="815" w:val="left"/>
        </w:tabs>
        <w:numPr>
          <w:ilvl w:val="1"/>
          <w:numId w:val="34"/>
        </w:numPr>
        <w:rPr>
          <w:rFonts w:ascii="Arial" w:cs="Arial" w:eastAsia="Arial" w:hAnsi="Arial"/>
          <w:sz w:val="17"/>
          <w:szCs w:val="17"/>
          <w:color w:val="auto"/>
        </w:rPr>
      </w:pPr>
      <w:r>
        <w:rPr>
          <w:rFonts w:ascii="Arial" w:cs="Arial" w:eastAsia="Arial" w:hAnsi="Arial"/>
          <w:sz w:val="17"/>
          <w:szCs w:val="17"/>
          <w:b w:val="1"/>
          <w:bCs w:val="1"/>
          <w:color w:val="auto"/>
        </w:rPr>
        <w:t>Fixed Basic Rent</w:t>
      </w:r>
      <w:r>
        <w:rPr>
          <w:rFonts w:ascii="Arial" w:cs="Arial" w:eastAsia="Arial" w:hAnsi="Arial"/>
          <w:sz w:val="17"/>
          <w:szCs w:val="17"/>
          <w:color w:val="auto"/>
        </w:rPr>
        <w:t>. From the Commencement Date through the Expiration Date the Fixed Basic Rent and the per rentable square foot rental rate</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Demised Premises shall be payable in accordance with the table below and shall be based on 9,850 rsf. There shall be a five</w:t>
      </w:r>
    </w:p>
    <w:p>
      <w:pPr>
        <w:spacing w:after="0" w:line="142" w:lineRule="exact"/>
        <w:rPr>
          <w:rFonts w:ascii="Arial" w:cs="Arial" w:eastAsia="Arial" w:hAnsi="Arial"/>
          <w:sz w:val="17"/>
          <w:szCs w:val="17"/>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month Fixed Basic Rent abatement calculated on the Expansion Space which shall total $29,228.96 and shall be applied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Lease Year</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 RSF</w:t>
            </w: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Annual Rent</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Monthly Rate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2/1/2019-4/30/2019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57,683,13*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25,035.42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5/1/2019-4/30/2020</w:t>
            </w:r>
          </w:p>
        </w:tc>
        <w:tc>
          <w:tcPr>
            <w:tcW w:w="1360" w:type="dxa"/>
            <w:vAlign w:val="bottom"/>
            <w:gridSpan w:val="2"/>
          </w:tcPr>
          <w:p>
            <w:pPr>
              <w:jc w:val="right"/>
              <w:ind w:right="99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31.00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293,544,1 3*</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25,445.83</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5/1 /2020-4/30/2021</w:t>
            </w:r>
          </w:p>
        </w:tc>
        <w:tc>
          <w:tcPr>
            <w:tcW w:w="1360" w:type="dxa"/>
            <w:vAlign w:val="bottom"/>
            <w:gridSpan w:val="2"/>
            <w:shd w:val="clear" w:color="auto" w:fill="CCEEFF"/>
          </w:tcPr>
          <w:p>
            <w:pPr>
              <w:jc w:val="right"/>
              <w:ind w:right="99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31.50</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310,275.00</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25,856.25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5/1/2021-4/30/2022</w:t>
            </w:r>
          </w:p>
        </w:tc>
        <w:tc>
          <w:tcPr>
            <w:tcW w:w="1360" w:type="dxa"/>
            <w:vAlign w:val="bottom"/>
            <w:gridSpan w:val="2"/>
          </w:tcPr>
          <w:p>
            <w:pPr>
              <w:jc w:val="right"/>
              <w:ind w:right="99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32.00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3 15,200.00</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26,266.67</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5/1/20224/31/2023</w:t>
            </w:r>
          </w:p>
        </w:tc>
        <w:tc>
          <w:tcPr>
            <w:tcW w:w="1360" w:type="dxa"/>
            <w:vAlign w:val="bottom"/>
            <w:gridSpan w:val="2"/>
            <w:shd w:val="clear" w:color="auto" w:fill="CCEEFF"/>
          </w:tcPr>
          <w:p>
            <w:pPr>
              <w:jc w:val="right"/>
              <w:ind w:right="99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32.50</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320,125.00</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26,667.08</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5/1/2023 - 8/3 1/2023</w:t>
            </w:r>
          </w:p>
        </w:tc>
        <w:tc>
          <w:tcPr>
            <w:tcW w:w="1360" w:type="dxa"/>
            <w:vAlign w:val="bottom"/>
            <w:gridSpan w:val="2"/>
          </w:tcPr>
          <w:p>
            <w:pPr>
              <w:jc w:val="right"/>
              <w:ind w:right="99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33.00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108,350.00</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27,087.50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*after reduction of a $17,423.12 abatement applied to the Fixed Basic Rent due 2/1/2019 and the payment due on 2/1/2019 shall be $7,612.30.</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after reduction of a $1 1,805.83 applied to the Fixed Basic Rent due 5/1/2019 and the payment due on 5/1/2019 shall be $13,640.00.</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terms and conditions of the Lease with respect to manner and time of payment shall continue without change and shall apply to the Demised Premises and to the Lease as Amended.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2" w:name="page73"/>
    <w:bookmarkEnd w:id="72"/>
    <w:p>
      <w:pPr>
        <w:jc w:val="both"/>
        <w:ind w:left="-20" w:firstLine="643"/>
        <w:spacing w:after="0" w:line="303" w:lineRule="auto"/>
        <w:tabs>
          <w:tab w:leader="none" w:pos="808"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Additional Rent/Utilities/Base Year/ Tenant’s Percentage</w:t>
      </w:r>
      <w:r>
        <w:rPr>
          <w:rFonts w:ascii="Arial" w:cs="Arial" w:eastAsia="Arial" w:hAnsi="Arial"/>
          <w:sz w:val="16"/>
          <w:szCs w:val="16"/>
          <w:color w:val="auto"/>
        </w:rPr>
        <w:t>. Tenant shall continue to pay Additional Rent, Operating Expenses, and Utilities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manner as presently paid pursuant to the Lease except as set forth herein which shall be applicable after the Commencement Date. Electricity shall be charged at the rate of the greater of $1.75 per rentable square foot or the adjusted rate as described in Section 5 of the Lease. Tenant’s Percentage as described in Section 4 (A) of the Lease for the Demised Premises shall be 10.13%. Tenant’s Base Year shall remain Calendar Year 2017.</w:t>
      </w:r>
    </w:p>
    <w:p>
      <w:pPr>
        <w:spacing w:after="0" w:line="151" w:lineRule="exact"/>
        <w:rPr>
          <w:rFonts w:ascii="Arial" w:cs="Arial" w:eastAsia="Arial" w:hAnsi="Arial"/>
          <w:sz w:val="16"/>
          <w:szCs w:val="16"/>
          <w:color w:val="auto"/>
        </w:rPr>
      </w:pPr>
    </w:p>
    <w:p>
      <w:pPr>
        <w:jc w:val="both"/>
        <w:ind w:left="-20" w:firstLine="643"/>
        <w:spacing w:after="0" w:line="281" w:lineRule="auto"/>
        <w:tabs>
          <w:tab w:leader="none" w:pos="795"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Acceptance of Premises/Additional Work</w:t>
      </w:r>
      <w:r>
        <w:rPr>
          <w:rFonts w:ascii="Arial" w:cs="Arial" w:eastAsia="Arial" w:hAnsi="Arial"/>
          <w:sz w:val="17"/>
          <w:szCs w:val="17"/>
          <w:color w:val="auto"/>
        </w:rPr>
        <w:t>. Tenant accepts the Expansion Premises in its “As Is Where Is” condition and Landlord shall have not</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to perform any tenant improvements to the Expansion Premises or the Demised Premises. Tenant has hired the services of Vision RE Construction Company LLC to perform improvement work within the Expansion Premises. Such work shall be performed pursuant to a construction or service contract which shall be subject to Landlord’s reasonable approval as it relates to materials and specifications.</w:t>
      </w:r>
    </w:p>
    <w:p>
      <w:pPr>
        <w:spacing w:after="0" w:line="164" w:lineRule="exact"/>
        <w:rPr>
          <w:rFonts w:ascii="Arial" w:cs="Arial" w:eastAsia="Arial" w:hAnsi="Arial"/>
          <w:sz w:val="17"/>
          <w:szCs w:val="17"/>
          <w:color w:val="auto"/>
        </w:rPr>
      </w:pPr>
    </w:p>
    <w:p>
      <w:pPr>
        <w:jc w:val="both"/>
        <w:ind w:left="-20" w:firstLine="643"/>
        <w:spacing w:after="0" w:line="277" w:lineRule="auto"/>
        <w:tabs>
          <w:tab w:leader="none" w:pos="795"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Right of Termination</w:t>
      </w:r>
      <w:r>
        <w:rPr>
          <w:rFonts w:ascii="Arial" w:cs="Arial" w:eastAsia="Arial" w:hAnsi="Arial"/>
          <w:sz w:val="17"/>
          <w:szCs w:val="17"/>
          <w:color w:val="auto"/>
        </w:rPr>
        <w:t>. Landlord and Tenant hereby agree that Tenant’s right of termination as set forth in Section 7 of the First Amendment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in full force and effect subject to the following changes. The date by which the Cancellation Notice must be served shall be August 31, 2020 and the Cancellation Date shall be August 31, 2021. The Cancellation Fee shall be calculated in the same manner as described in Section 7 (which for sake of clarity shall encompass and include all “Landlord’s Costs” as defined in Section 7 which are incurred or granted in this Second Amendment), except that in calculating the unamortized portion the reference shall be to the Expiration Date of August 31, 2023.</w:t>
      </w:r>
    </w:p>
    <w:p>
      <w:pPr>
        <w:spacing w:after="0" w:line="168" w:lineRule="exact"/>
        <w:rPr>
          <w:rFonts w:ascii="Arial" w:cs="Arial" w:eastAsia="Arial" w:hAnsi="Arial"/>
          <w:sz w:val="17"/>
          <w:szCs w:val="17"/>
          <w:color w:val="auto"/>
        </w:rPr>
      </w:pPr>
    </w:p>
    <w:p>
      <w:pPr>
        <w:jc w:val="both"/>
        <w:ind w:left="-20" w:firstLine="643"/>
        <w:spacing w:after="0" w:line="258" w:lineRule="auto"/>
        <w:tabs>
          <w:tab w:leader="none" w:pos="795"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Broker</w:t>
      </w:r>
      <w:r>
        <w:rPr>
          <w:rFonts w:ascii="Arial" w:cs="Arial" w:eastAsia="Arial" w:hAnsi="Arial"/>
          <w:sz w:val="18"/>
          <w:szCs w:val="18"/>
          <w:color w:val="auto"/>
        </w:rPr>
        <w:t>. Tenant and Landlord mutually represent and wan•ants to each other Landlord that except for Landlord’s broker which is Newmark Knight</w:t>
      </w:r>
      <w:r>
        <w:rPr>
          <w:rFonts w:ascii="Arial" w:cs="Arial" w:eastAsia="Arial" w:hAnsi="Arial"/>
          <w:sz w:val="18"/>
          <w:szCs w:val="18"/>
          <w:b w:val="1"/>
          <w:bCs w:val="1"/>
          <w:color w:val="auto"/>
        </w:rPr>
        <w:t xml:space="preserve"> </w:t>
      </w:r>
      <w:r>
        <w:rPr>
          <w:rFonts w:ascii="Arial" w:cs="Arial" w:eastAsia="Arial" w:hAnsi="Arial"/>
          <w:sz w:val="18"/>
          <w:szCs w:val="18"/>
          <w:color w:val="auto"/>
        </w:rPr>
        <w:t>Frank and Tenant’s Broker which is Cresa (collectively the “</w:t>
      </w:r>
      <w:r>
        <w:rPr>
          <w:rFonts w:ascii="Arial" w:cs="Arial" w:eastAsia="Arial" w:hAnsi="Arial"/>
          <w:sz w:val="18"/>
          <w:szCs w:val="18"/>
          <w:b w:val="1"/>
          <w:bCs w:val="1"/>
          <w:color w:val="auto"/>
        </w:rPr>
        <w:t>Broker”</w:t>
      </w:r>
      <w:r>
        <w:rPr>
          <w:rFonts w:ascii="Arial" w:cs="Arial" w:eastAsia="Arial" w:hAnsi="Arial"/>
          <w:sz w:val="18"/>
          <w:szCs w:val="18"/>
          <w:color w:val="auto"/>
        </w:rPr>
        <w:t>) no other broker or real estate agent was engaged or employed in connection with this Second Amendment. Each party hereby indemnifies and holds the other harmless from and against any and all costs, claims, losses, liabilities and expenses (including, without limitation, reasonable attorneys’ fees and disbursements) arising out of any breach of the foregoing representation. Landlord shall pay each Broker a commission in accordance with their respective separate agreements</w:t>
      </w:r>
    </w:p>
    <w:p>
      <w:pPr>
        <w:spacing w:after="0" w:line="183" w:lineRule="exact"/>
        <w:rPr>
          <w:rFonts w:ascii="Arial" w:cs="Arial" w:eastAsia="Arial" w:hAnsi="Arial"/>
          <w:sz w:val="18"/>
          <w:szCs w:val="18"/>
          <w:color w:val="auto"/>
        </w:rPr>
      </w:pPr>
    </w:p>
    <w:p>
      <w:pPr>
        <w:ind w:left="-20" w:firstLine="643"/>
        <w:spacing w:after="0" w:line="282" w:lineRule="auto"/>
        <w:tabs>
          <w:tab w:leader="none" w:pos="795"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The parties hereby confirm that Landlord is holding a Cash Security Deposit $50,000.00. The Security Deposit shall secure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Tenant under the Lease as Amended and shall apply to the Demised Premises.</w:t>
      </w:r>
    </w:p>
    <w:p>
      <w:pPr>
        <w:spacing w:after="0" w:line="161" w:lineRule="exact"/>
        <w:rPr>
          <w:rFonts w:ascii="Arial" w:cs="Arial" w:eastAsia="Arial" w:hAnsi="Arial"/>
          <w:sz w:val="18"/>
          <w:szCs w:val="18"/>
          <w:color w:val="auto"/>
        </w:rPr>
      </w:pPr>
    </w:p>
    <w:p>
      <w:pPr>
        <w:jc w:val="both"/>
        <w:ind w:left="-20" w:firstLine="643"/>
        <w:spacing w:after="0" w:line="281" w:lineRule="auto"/>
        <w:tabs>
          <w:tab w:leader="none" w:pos="885"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Ratification</w:t>
      </w:r>
      <w:r>
        <w:rPr>
          <w:rFonts w:ascii="Arial" w:cs="Arial" w:eastAsia="Arial" w:hAnsi="Arial"/>
          <w:sz w:val="17"/>
          <w:szCs w:val="17"/>
          <w:color w:val="auto"/>
        </w:rPr>
        <w:t>. Tenant confirms and ratifies that, as of the date hereof: (a) Tenant is the Tenant under the Lease and has neither assigned the Lease</w:t>
      </w:r>
      <w:r>
        <w:rPr>
          <w:rFonts w:ascii="Arial" w:cs="Arial" w:eastAsia="Arial" w:hAnsi="Arial"/>
          <w:sz w:val="17"/>
          <w:szCs w:val="17"/>
          <w:b w:val="1"/>
          <w:bCs w:val="1"/>
          <w:color w:val="auto"/>
        </w:rPr>
        <w:t xml:space="preserve"> </w:t>
      </w:r>
      <w:r>
        <w:rPr>
          <w:rFonts w:ascii="Arial" w:cs="Arial" w:eastAsia="Arial" w:hAnsi="Arial"/>
          <w:sz w:val="17"/>
          <w:szCs w:val="17"/>
          <w:color w:val="auto"/>
        </w:rPr>
        <w:t>as Amended nor subleased any portion of the Premises; (b) the Lease as Amended is and remains in good standing and in full force and effect; (c) Landlord is not in default of any of its obligations under the Lease as Amended nor, to Tenant’s knowledge, has any event occurred which, with the giving of notice of the passage of time or both would constitute a default by Landlord under the Lease as Amended; and (d) Tenant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88" w:right="239" w:bottom="1440" w:gutter="0" w:footer="0" w:header="0"/>
        </w:sectPr>
      </w:pPr>
    </w:p>
    <w:bookmarkStart w:id="73" w:name="page74"/>
    <w:bookmarkEnd w:id="73"/>
    <w:p>
      <w:pPr>
        <w:ind w:right="20" w:firstLine="643"/>
        <w:spacing w:after="0" w:line="313" w:lineRule="auto"/>
        <w:tabs>
          <w:tab w:leader="none" w:pos="898"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Binding Effect/Governing Law</w:t>
      </w:r>
      <w:r>
        <w:rPr>
          <w:rFonts w:ascii="Arial" w:cs="Arial" w:eastAsia="Arial" w:hAnsi="Arial"/>
          <w:sz w:val="17"/>
          <w:szCs w:val="17"/>
          <w:color w:val="auto"/>
        </w:rPr>
        <w:t>. Except as modified hereby, the Lease shall remain in full force and effect, and shall be binding upon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and Tenant and their respective successors and assigns. This Second Amendment shall be governed by the laws of the State of New Jersey.</w:t>
      </w:r>
    </w:p>
    <w:p>
      <w:pPr>
        <w:spacing w:after="0" w:line="138" w:lineRule="exact"/>
        <w:rPr>
          <w:rFonts w:ascii="Arial" w:cs="Arial" w:eastAsia="Arial" w:hAnsi="Arial"/>
          <w:sz w:val="17"/>
          <w:szCs w:val="17"/>
          <w:color w:val="auto"/>
        </w:rPr>
      </w:pPr>
    </w:p>
    <w:p>
      <w:pPr>
        <w:ind w:right="20" w:firstLine="643"/>
        <w:spacing w:after="0" w:line="282" w:lineRule="auto"/>
        <w:tabs>
          <w:tab w:leader="none" w:pos="905"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Conflicts. </w:t>
      </w:r>
      <w:r>
        <w:rPr>
          <w:rFonts w:ascii="Arial" w:cs="Arial" w:eastAsia="Arial" w:hAnsi="Arial"/>
          <w:sz w:val="18"/>
          <w:szCs w:val="18"/>
          <w:color w:val="auto"/>
        </w:rPr>
        <w:t>If any inconsistency exists or arises between the terms of this Second Amendment and the terms of the Lease, the terms of this Second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shall prevail.</w:t>
      </w:r>
    </w:p>
    <w:p>
      <w:pPr>
        <w:spacing w:after="0" w:line="161" w:lineRule="exact"/>
        <w:rPr>
          <w:rFonts w:ascii="Arial" w:cs="Arial" w:eastAsia="Arial" w:hAnsi="Arial"/>
          <w:sz w:val="18"/>
          <w:szCs w:val="18"/>
          <w:color w:val="auto"/>
        </w:rPr>
      </w:pPr>
    </w:p>
    <w:p>
      <w:pPr>
        <w:jc w:val="both"/>
        <w:ind w:firstLine="643"/>
        <w:spacing w:after="0" w:line="258" w:lineRule="auto"/>
        <w:tabs>
          <w:tab w:leader="none" w:pos="905"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Second Amendment may be executed in multiple counterparts, each of which shall constitute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document. Signatures transmitted via facsimile or e-mail shall have the same binding effect as original signatures. Promptly following any facsimile transmittal or e-mail transmittal of signatures in “PDF” format, the parties shall deliver to each other the original executed document (it being agreed and understood that the delivery of such original shall not be a condition to the binding nature of the facsimile or electronic copy of the document).</w:t>
      </w:r>
    </w:p>
    <w:p>
      <w:pPr>
        <w:spacing w:after="0" w:line="183" w:lineRule="exact"/>
        <w:rPr>
          <w:rFonts w:ascii="Arial" w:cs="Arial" w:eastAsia="Arial" w:hAnsi="Arial"/>
          <w:sz w:val="18"/>
          <w:szCs w:val="18"/>
          <w:color w:val="auto"/>
        </w:rPr>
      </w:pPr>
    </w:p>
    <w:p>
      <w:pPr>
        <w:ind w:right="20" w:firstLine="643"/>
        <w:spacing w:after="0" w:line="282" w:lineRule="auto"/>
        <w:tabs>
          <w:tab w:leader="none" w:pos="918"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Continuation of Lease</w:t>
      </w:r>
      <w:r>
        <w:rPr>
          <w:rFonts w:ascii="Arial" w:cs="Arial" w:eastAsia="Arial" w:hAnsi="Arial"/>
          <w:sz w:val="18"/>
          <w:szCs w:val="18"/>
          <w:color w:val="auto"/>
        </w:rPr>
        <w:t>. Except as set forth above, the Lease shall continue in full force and effect in accordance with its terms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modifications which shall govern from and after the Commencement Date.</w:t>
      </w:r>
    </w:p>
    <w:p>
      <w:pPr>
        <w:spacing w:after="0" w:line="161" w:lineRule="exact"/>
        <w:rPr>
          <w:rFonts w:ascii="Arial" w:cs="Arial" w:eastAsia="Arial" w:hAnsi="Arial"/>
          <w:sz w:val="18"/>
          <w:szCs w:val="18"/>
          <w:color w:val="auto"/>
        </w:rPr>
      </w:pPr>
    </w:p>
    <w:p>
      <w:pPr>
        <w:jc w:val="both"/>
        <w:ind w:firstLine="643"/>
        <w:spacing w:after="0" w:line="258" w:lineRule="auto"/>
        <w:tabs>
          <w:tab w:leader="none" w:pos="905"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The terms of this Second Amendment shall remain confidential and shall not be released to any third party 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 and as required by law. Nothing contained herein shall prohibit the parties hereto from releasing the terms of this Second Amendment to their attorneys and/or other professionals, investors, lenders and potential purchasers of the property. Except for public announcements that may be required by law, all public announcements with the use of Tenant’s name shall be subject to Tenant’s prior written consent, which may be withheld in Tenant’s sole discretion.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Further text on this page; signature element on next page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Second Amendment as of the date and year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LENOX DRIVE OFFICE PARK,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CFO</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75" w:name="page76"/>
    <w:bookmarkEnd w:id="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9" w:name="page80"/>
    <w:bookmarkEnd w:id="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2019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both"/>
        <w:ind w:firstLine="8"/>
        <w:spacing w:after="0" w:line="264" w:lineRule="auto"/>
        <w:tabs>
          <w:tab w:leader="none" w:pos="1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2"/>
    </w:lvl>
  </w:abstractNum>
  <w:abstractNum w:abstractNumId="28">
    <w:nsid w:val="419AC241"/>
    <w:multiLevelType w:val="hybridMultilevel"/>
    <w:lvl w:ilvl="0">
      <w:lvlJc w:val="left"/>
      <w:lvlText w:val="(%1)"/>
      <w:numFmt w:val="lowerRoman"/>
      <w:start w:val="1"/>
    </w:lvl>
    <w:lvl w:ilvl="1">
      <w:lvlJc w:val="left"/>
      <w:lvlText w:val="(%2)"/>
      <w:numFmt w:val="decimal"/>
      <w:start w:val="1"/>
    </w:lvl>
  </w:abstractNum>
  <w:abstractNum w:abstractNumId="29">
    <w:nsid w:val="5577F8E1"/>
    <w:multiLevelType w:val="hybridMultilevel"/>
    <w:lvl w:ilvl="0">
      <w:lvlJc w:val="left"/>
      <w:lvlText w:val="%1."/>
      <w:numFmt w:val="decimal"/>
      <w:start w:val="2"/>
    </w:lvl>
  </w:abstractNum>
  <w:abstractNum w:abstractNumId="30">
    <w:nsid w:val="440BADFC"/>
    <w:multiLevelType w:val="hybridMultilevel"/>
    <w:lvl w:ilvl="0">
      <w:lvlJc w:val="left"/>
      <w:lvlText w:val="%1."/>
      <w:numFmt w:val="decimal"/>
      <w:start w:val="3"/>
    </w:lvl>
  </w:abstractNum>
  <w:abstractNum w:abstractNumId="31">
    <w:nsid w:val="5072367"/>
    <w:multiLevelType w:val="hybridMultilevel"/>
    <w:lvl w:ilvl="0">
      <w:lvlJc w:val="left"/>
      <w:lvlText w:val="%1."/>
      <w:numFmt w:val="decimal"/>
      <w:start w:val="6"/>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lvl w:ilvl="1">
      <w:lvlJc w:val="left"/>
      <w:lvlText w:val="%2."/>
      <w:numFmt w:val="decimal"/>
      <w:start w:val="2"/>
    </w:lvl>
  </w:abstractNum>
  <w:abstractNum w:abstractNumId="34">
    <w:nsid w:val="7724C67E"/>
    <w:multiLevelType w:val="hybridMultilevel"/>
    <w:lvl w:ilvl="0">
      <w:lvlJc w:val="left"/>
      <w:lvlText w:val="(%1)"/>
      <w:numFmt w:val="decimal"/>
      <w:start w:val="5"/>
    </w:lvl>
    <w:lvl w:ilvl="1">
      <w:lvlJc w:val="left"/>
      <w:lvlText w:val="%2"/>
      <w:numFmt w:val="decimal"/>
      <w:start w:val="1"/>
    </w:lvl>
  </w:abstractNum>
  <w:abstractNum w:abstractNumId="35">
    <w:nsid w:val="5C482A97"/>
    <w:multiLevelType w:val="hybridMultilevel"/>
    <w:lvl w:ilvl="0">
      <w:lvlJc w:val="left"/>
      <w:lvlText w:val="%1."/>
      <w:numFmt w:val="decimal"/>
      <w:start w:val="5"/>
    </w:lvl>
  </w:abstractNum>
  <w:abstractNum w:abstractNumId="36">
    <w:nsid w:val="2463B9EA"/>
    <w:multiLevelType w:val="hybridMultilevel"/>
    <w:lvl w:ilvl="0">
      <w:lvlJc w:val="left"/>
      <w:lvlText w:val="%1."/>
      <w:numFmt w:val="decimal"/>
      <w:start w:val="1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61" Type="http://schemas.openxmlformats.org/officeDocument/2006/relationships/hyperlink" Target="http://www.sec.gov/Archives/edgar/data/749647/00014931521900438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2019-12-28T11:53:50Z</dcterms:created>
  <dcterms:modified xsi:type="dcterms:W3CDTF">2019-12-28T11:53:50Z</dcterms:modified>
</cp:coreProperties>
</file>