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000" w:right="2240" w:hanging="3955"/>
        <w:spacing w:after="0" w:line="500" w:lineRule="auto"/>
        <w:tabs>
          <w:tab w:leader="none" w:pos="32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2020</w:t>
      </w:r>
    </w:p>
    <w:p>
      <w:pPr>
        <w:spacing w:after="0" w:line="1"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4300" w:right="2220" w:hanging="4235"/>
        <w:spacing w:after="0" w:line="485"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Commission file number: 001-15911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52-1256615</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88"/>
              </w:rPr>
              <w:t>Name of each exchange on</w:t>
            </w:r>
          </w:p>
        </w:tc>
      </w:tr>
      <w:tr>
        <w:trPr>
          <w:trHeight w:val="237"/>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CLSN</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1440" w:gutter="0" w:footer="0" w:header="0"/>
        </w:sectPr>
      </w:pPr>
    </w:p>
    <w:p>
      <w:pPr>
        <w:spacing w:after="0" w:line="18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Large accelerated filer [ ]</w:t>
      </w:r>
    </w:p>
    <w:p>
      <w:pPr>
        <w:spacing w:after="0" w:line="4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ectPr>
          <w:pgSz w:w="11900" w:h="16838" w:orient="portrait"/>
          <w:cols w:equalWidth="0" w:num="2">
            <w:col w:w="4920" w:space="720"/>
            <w:col w:w="5600"/>
          </w:cols>
          <w:pgMar w:left="320" w:top="746" w:right="3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3200" w:space="100"/>
            <w:col w:w="7940"/>
          </w:cols>
          <w:pgMar w:left="320" w:top="746" w:right="33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13, 2020, Celsion Corporation had 33,232,380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7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CELSION CORPORATION</w:t>
            </w:r>
          </w:p>
        </w:tc>
        <w:tc>
          <w:tcPr>
            <w:tcW w:w="6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97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97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820" w:type="dxa"/>
            <w:vAlign w:val="bottom"/>
            <w:tcBorders>
              <w:bottom w:val="single" w:sz="8" w:color="CCEEFF"/>
            </w:tcBorders>
          </w:tcPr>
          <w:p>
            <w:pPr>
              <w:spacing w:after="0"/>
              <w:rPr>
                <w:sz w:val="24"/>
                <w:szCs w:val="24"/>
                <w:color w:val="auto"/>
              </w:rPr>
            </w:pPr>
          </w:p>
        </w:tc>
        <w:tc>
          <w:tcPr>
            <w:tcW w:w="97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r>
      <w:tr>
        <w:trPr>
          <w:trHeight w:val="216"/>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6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820" w:type="dxa"/>
            <w:vAlign w:val="bottom"/>
          </w:tcPr>
          <w:p>
            <w:pPr>
              <w:spacing w:after="0"/>
              <w:rPr>
                <w:sz w:val="18"/>
                <w:szCs w:val="18"/>
                <w:color w:val="auto"/>
              </w:rPr>
            </w:pPr>
          </w:p>
        </w:tc>
        <w:tc>
          <w:tcPr>
            <w:tcW w:w="978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820" w:type="dxa"/>
            <w:vAlign w:val="bottom"/>
          </w:tcPr>
          <w:p>
            <w:pPr>
              <w:spacing w:after="0"/>
              <w:rPr>
                <w:sz w:val="18"/>
                <w:szCs w:val="18"/>
                <w:color w:val="auto"/>
              </w:rPr>
            </w:pPr>
          </w:p>
        </w:tc>
        <w:tc>
          <w:tcPr>
            <w:tcW w:w="9780" w:type="dxa"/>
            <w:vAlign w:val="bottom"/>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Loss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820" w:type="dxa"/>
            <w:vAlign w:val="bottom"/>
          </w:tcPr>
          <w:p>
            <w:pPr>
              <w:spacing w:after="0"/>
              <w:rPr>
                <w:sz w:val="18"/>
                <w:szCs w:val="18"/>
                <w:color w:val="auto"/>
              </w:rPr>
            </w:pPr>
          </w:p>
        </w:tc>
        <w:tc>
          <w:tcPr>
            <w:tcW w:w="9780" w:type="dxa"/>
            <w:vAlign w:val="bottom"/>
          </w:tcPr>
          <w:p>
            <w:pPr>
              <w:ind w:left="1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Condensed Consolidated Statements of Changes in Stockholders’ Equity</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the Condensed Consolidated Financial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Controls and Procedures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 OTHER INFORMATION</w:t>
              </w:r>
            </w:hyperlink>
          </w:p>
        </w:tc>
        <w:tc>
          <w:tcPr>
            <w:tcW w:w="6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SIGNATURES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439"/>
        </w:trPr>
        <w:tc>
          <w:tcPr>
            <w:tcW w:w="8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8"/>
              </w:rPr>
              <w:t>i</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Celsion brand and product names, including but not limited to Celsion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300" w:type="dxa"/>
            <w:vAlign w:val="bottom"/>
            <w:gridSpan w:val="3"/>
          </w:tcPr>
          <w:p>
            <w:pPr>
              <w:jc w:val="center"/>
              <w:ind w:left="3850"/>
              <w:spacing w:after="0"/>
              <w:rPr>
                <w:sz w:val="20"/>
                <w:szCs w:val="20"/>
                <w:color w:val="auto"/>
              </w:rPr>
            </w:pPr>
            <w:r>
              <w:rPr>
                <w:rFonts w:ascii="Arial" w:cs="Arial" w:eastAsia="Arial" w:hAnsi="Arial"/>
                <w:sz w:val="18"/>
                <w:szCs w:val="18"/>
                <w:b w:val="1"/>
                <w:bCs w:val="1"/>
                <w:color w:val="auto"/>
              </w:rPr>
              <w:t>PART I: FINANCIAL INFORMATION</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7"/>
              </w:rPr>
              <w:t>June 30, 2020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22,653,760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6,875,273</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2,791,868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21,369</w:t>
            </w: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1,342,566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1,352,670</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26,796,060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16,235,198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6"/>
              </w:rPr>
              <w:t>Property and equipment (at cost, less accumulated depreciation of $3,174,681 and</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$3,096,681, respectively)</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339,200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405,363</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1,819,324</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In-process research and development,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15,736,491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15,736,491</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1,976,101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1,244,308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1,431,640</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227,318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340,976</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403,482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333,274</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other assets</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19,587,700</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21,637,806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46,722,960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38,278,367</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6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2</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(Continued)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2,402,142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2,862,949</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1,507,683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2,303,547</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 current portion, net of deferred financing costs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4,385,915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1,840,228</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Operating lease liability - current portion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410,005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387,733</w:t>
            </w:r>
          </w:p>
        </w:tc>
      </w:tr>
      <w:tr>
        <w:trPr>
          <w:trHeight w:val="24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current portion</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696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9,205,745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7,894,457</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Earn-out milestone liability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6,015,279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5,717,709</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payable, net of deferred financing costs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5,610,555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7,963,449</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Operating lease liability - non-current portion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933,219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1,143,717</w:t>
            </w:r>
          </w:p>
        </w:tc>
      </w:tr>
      <w:tr>
        <w:trPr>
          <w:trHeight w:val="24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non-current portion</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22,514,798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23,719,332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360"/>
              <w:spacing w:after="0" w:line="201" w:lineRule="exact"/>
              <w:rPr>
                <w:sz w:val="20"/>
                <w:szCs w:val="20"/>
                <w:color w:val="auto"/>
              </w:rPr>
            </w:pPr>
            <w:r>
              <w:rPr>
                <w:rFonts w:ascii="Arial" w:cs="Arial" w:eastAsia="Arial" w:hAnsi="Arial"/>
                <w:sz w:val="18"/>
                <w:szCs w:val="18"/>
                <w:color w:val="auto"/>
                <w:w w:val="95"/>
              </w:rPr>
              <w:t>Preferred stock - $0.01 par value (100,000 shares authorized, and no shares issued or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ind w:left="360"/>
              <w:spacing w:after="0"/>
              <w:rPr>
                <w:sz w:val="20"/>
                <w:szCs w:val="20"/>
                <w:color w:val="auto"/>
              </w:rPr>
            </w:pPr>
            <w:r>
              <w:rPr>
                <w:rFonts w:ascii="Arial" w:cs="Arial" w:eastAsia="Arial" w:hAnsi="Arial"/>
                <w:sz w:val="18"/>
                <w:szCs w:val="18"/>
                <w:color w:val="auto"/>
              </w:rPr>
              <w:t>outstanding at June 30, 2020 and December 31, 2019)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360"/>
              <w:spacing w:after="0" w:line="201" w:lineRule="exact"/>
              <w:rPr>
                <w:sz w:val="20"/>
                <w:szCs w:val="20"/>
                <w:color w:val="auto"/>
              </w:rPr>
            </w:pPr>
            <w:r>
              <w:rPr>
                <w:rFonts w:ascii="Arial" w:cs="Arial" w:eastAsia="Arial" w:hAnsi="Arial"/>
                <w:sz w:val="18"/>
                <w:szCs w:val="18"/>
                <w:color w:val="auto"/>
              </w:rPr>
              <w:t>Common stock - $0.01 par value (112,500,000 shares authorized; 33,229,714 and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w w:val="95"/>
              </w:rPr>
              <w:t>23,256,152 shares issued at June 30, 2020 and December 31, 2019, respectively, and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w w:val="91"/>
              </w:rPr>
              <w:t>33,229,380 and 23,255,818 shares outstanding at June 30, 2020 and December 31, 2019,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332,297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232,562</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324,869,780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304,885,663</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7,866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42,778</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(300,916,593)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(290,516,780)</w:t>
            </w:r>
          </w:p>
        </w:tc>
      </w:tr>
      <w:tr>
        <w:trPr>
          <w:trHeight w:val="203"/>
        </w:trPr>
        <w:tc>
          <w:tcPr>
            <w:tcW w:w="696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24,293,350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14,644,223</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Treasury stock, at cost (334 shares at June 30, 2020 and December 31, 2019)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(85,188)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24,208,162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14,559,035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46,722,960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38,278,367</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3</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9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9"/>
              </w:rPr>
              <w:t>CELSION CORPORATION</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40" w:type="dxa"/>
            <w:vAlign w:val="bottom"/>
          </w:tcPr>
          <w:p>
            <w:pPr>
              <w:spacing w:after="0"/>
              <w:rPr>
                <w:sz w:val="24"/>
                <w:szCs w:val="24"/>
                <w:color w:val="auto"/>
              </w:rPr>
            </w:pPr>
          </w:p>
        </w:tc>
        <w:tc>
          <w:tcPr>
            <w:tcW w:w="326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99"/>
              </w:rPr>
              <w:t>CONDENSED CONSOLIDATED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26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98"/>
              </w:rPr>
              <w:t>STATEMENTS OF OPERATIONS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9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6"/>
          </w:tcPr>
          <w:p>
            <w:pPr>
              <w:jc w:val="right"/>
              <w:ind w:right="861"/>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125,000</w:t>
            </w:r>
          </w:p>
        </w:tc>
        <w:tc>
          <w:tcPr>
            <w:tcW w:w="3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250,000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2,990,861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3,558,074</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6,042,910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6,325,733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1,901,136</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2,136,684</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3,740,042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4,354,548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3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4,891,997</w:t>
            </w:r>
          </w:p>
        </w:tc>
        <w:tc>
          <w:tcPr>
            <w:tcW w:w="3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5,694,758</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9,782,952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10,680,281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(4,766,997)</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(5,569,758)</w:t>
            </w:r>
          </w:p>
        </w:tc>
        <w:tc>
          <w:tcPr>
            <w:tcW w:w="22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(9,532,952)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(10,430,281)</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(Loss) gain from change in valuation of earn-out milestone</w:t>
            </w: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(256,296)</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(127,061)</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(297,570)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3,002,939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Fair value of warrants issued in connection with amendment to</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modify GEN-1 earn-out milestone payments</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20,960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144,602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109,269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(340,602)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(349,448)</w:t>
            </w:r>
          </w:p>
        </w:tc>
        <w:tc>
          <w:tcPr>
            <w:tcW w:w="2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(679,967)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(700,195)</w:t>
            </w:r>
          </w:p>
        </w:tc>
        <w:tc>
          <w:tcPr>
            <w:tcW w:w="0" w:type="dxa"/>
            <w:vAlign w:val="bottom"/>
          </w:tcPr>
          <w:p>
            <w:pPr>
              <w:spacing w:after="0"/>
              <w:rPr>
                <w:sz w:val="1"/>
                <w:szCs w:val="1"/>
                <w:color w:val="auto"/>
              </w:rPr>
            </w:pPr>
          </w:p>
        </w:tc>
      </w:tr>
      <w:tr>
        <w:trPr>
          <w:trHeight w:val="24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1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(2,850)</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other (expense) income, net</w:t>
            </w:r>
          </w:p>
        </w:tc>
        <w:tc>
          <w:tcPr>
            <w:tcW w:w="13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(575,938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(334,757</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(866,861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2,158,314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8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(5,342,935)</w:t>
            </w:r>
          </w:p>
        </w:tc>
        <w:tc>
          <w:tcPr>
            <w:tcW w:w="340" w:type="dxa"/>
            <w:vAlign w:val="bottom"/>
            <w:gridSpan w:val="2"/>
          </w:tcPr>
          <w:p>
            <w:pPr>
              <w:jc w:val="right"/>
              <w:ind w:right="147"/>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(5,904,515)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(10,399,813)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(8,271,967)</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 per common share</w:t>
            </w:r>
          </w:p>
        </w:tc>
        <w:tc>
          <w:tcPr>
            <w:tcW w:w="13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CCEEFF"/>
            </w:tcBorders>
            <w:shd w:val="clear" w:color="auto" w:fill="CCEEFF"/>
          </w:tcPr>
          <w:p>
            <w:pPr>
              <w:ind w:left="360"/>
              <w:spacing w:after="0" w:line="195" w:lineRule="exact"/>
              <w:rPr>
                <w:sz w:val="20"/>
                <w:szCs w:val="20"/>
                <w:color w:val="auto"/>
              </w:rPr>
            </w:pPr>
            <w:r>
              <w:rPr>
                <w:rFonts w:ascii="Arial" w:cs="Arial" w:eastAsia="Arial" w:hAnsi="Arial"/>
                <w:sz w:val="18"/>
                <w:szCs w:val="18"/>
                <w:b w:val="1"/>
                <w:bCs w:val="1"/>
                <w:color w:val="auto"/>
              </w:rPr>
              <w:t>Basic and diluted</w:t>
            </w:r>
          </w:p>
        </w:tc>
        <w:tc>
          <w:tcPr>
            <w:tcW w:w="1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(0.29</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(0.37</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shares outstanding</w:t>
            </w:r>
          </w:p>
        </w:tc>
        <w:tc>
          <w:tcPr>
            <w:tcW w:w="1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Basic and diluted</w:t>
            </w: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29,887,329</w:t>
            </w:r>
          </w:p>
        </w:tc>
        <w:tc>
          <w:tcPr>
            <w:tcW w:w="3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20,605,762</w:t>
            </w:r>
          </w:p>
        </w:tc>
        <w:tc>
          <w:tcPr>
            <w:tcW w:w="34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27,830,573</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19,713,449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20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9"/>
              </w:rPr>
              <w:t>CELSION CORPORATION</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60" w:type="dxa"/>
            <w:vAlign w:val="bottom"/>
          </w:tcPr>
          <w:p>
            <w:pPr>
              <w:spacing w:after="0"/>
              <w:rPr>
                <w:sz w:val="24"/>
                <w:szCs w:val="24"/>
                <w:color w:val="auto"/>
              </w:rPr>
            </w:pPr>
          </w:p>
        </w:tc>
        <w:tc>
          <w:tcPr>
            <w:tcW w:w="352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9"/>
              </w:rPr>
              <w:t>CONDENSED CONSOLIDATED</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4800" w:type="dxa"/>
            <w:vAlign w:val="bottom"/>
            <w:gridSpan w:val="8"/>
          </w:tcPr>
          <w:p>
            <w:pPr>
              <w:jc w:val="center"/>
              <w:ind w:right="660"/>
              <w:spacing w:after="0"/>
              <w:rPr>
                <w:sz w:val="20"/>
                <w:szCs w:val="20"/>
                <w:color w:val="auto"/>
              </w:rPr>
            </w:pPr>
            <w:r>
              <w:rPr>
                <w:rFonts w:ascii="Arial" w:cs="Arial" w:eastAsia="Arial" w:hAnsi="Arial"/>
                <w:sz w:val="18"/>
                <w:szCs w:val="18"/>
                <w:b w:val="1"/>
                <w:bCs w:val="1"/>
                <w:color w:val="auto"/>
                <w:w w:val="99"/>
              </w:rPr>
              <w:t>STATEMENTS OF COMPREHENSIVE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320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6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3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56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440" w:type="dxa"/>
            <w:vAlign w:val="bottom"/>
            <w:gridSpan w:val="3"/>
          </w:tcPr>
          <w:p>
            <w:pPr>
              <w:spacing w:after="0" w:line="201" w:lineRule="exact"/>
              <w:rPr>
                <w:sz w:val="20"/>
                <w:szCs w:val="20"/>
                <w:color w:val="auto"/>
              </w:rPr>
            </w:pPr>
            <w:r>
              <w:rPr>
                <w:rFonts w:ascii="Arial" w:cs="Arial" w:eastAsia="Arial" w:hAnsi="Arial"/>
                <w:sz w:val="18"/>
                <w:szCs w:val="18"/>
                <w:color w:val="auto"/>
              </w:rPr>
              <w:t>Realized (gains) losses on investment securities recognized in</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investment income, net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(2,865)</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(969)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(46,097)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(10,350)</w:t>
            </w:r>
          </w:p>
        </w:tc>
      </w:tr>
      <w:tr>
        <w:trPr>
          <w:trHeight w:val="23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6"/>
              </w:rPr>
              <w:t>Unrealized gains on investment securities, net</w:t>
            </w: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6,918</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8,721</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75,054</w:t>
            </w:r>
          </w:p>
        </w:tc>
      </w:tr>
      <w:tr>
        <w:trPr>
          <w:trHeight w:val="216"/>
        </w:trPr>
        <w:tc>
          <w:tcPr>
            <w:tcW w:w="35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5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unrealized gains (losses) on available for sale securities,</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4,053</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7,752</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(34,912)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64,704</w:t>
            </w:r>
          </w:p>
        </w:tc>
      </w:tr>
      <w:tr>
        <w:trPr>
          <w:trHeight w:val="216"/>
        </w:trPr>
        <w:tc>
          <w:tcPr>
            <w:tcW w:w="3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(5,342,935)</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(5,904,515)</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(10,399,813)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(8,271,967)</w:t>
            </w:r>
          </w:p>
        </w:tc>
      </w:tr>
      <w:tr>
        <w:trPr>
          <w:trHeight w:val="216"/>
        </w:trPr>
        <w:tc>
          <w:tcPr>
            <w:tcW w:w="35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(5,338,882)</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(5,896,763)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(10,434,725)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(8,207,263)</w:t>
            </w:r>
          </w:p>
        </w:tc>
      </w:tr>
      <w:tr>
        <w:trPr>
          <w:trHeight w:val="20"/>
        </w:trPr>
        <w:tc>
          <w:tcPr>
            <w:tcW w:w="520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620" w:type="dxa"/>
            <w:vAlign w:val="bottom"/>
            <w:gridSpan w:val="10"/>
          </w:tcPr>
          <w:p>
            <w:pPr>
              <w:jc w:val="center"/>
              <w:ind w:left="255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color w:val="auto"/>
                <w:w w:val="79"/>
              </w:rPr>
              <w:t>5</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w w:val="99"/>
              </w:rPr>
              <w:t>CONDENSED CONSOLIDATED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w w:val="98"/>
              </w:rPr>
              <w:t>STATEMENTS OF CASH FLOWS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1"/>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(10,399,813)</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(8,271,967)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378,990</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362,027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Change in fair value of earn-out milestone liability</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297,570</w:t>
            </w: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(3,002,939)</w:t>
            </w: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Fair value of warrants issued in connection with amendment to modify</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GEN-1 earn-out milestone payments</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20"/>
                <w:szCs w:val="20"/>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(250,000)</w:t>
            </w: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(250,000)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costs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1,030,726</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1,308,492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Shares issued in exchange for services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5,350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1,819,324</w:t>
            </w: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192,793</w:t>
            </w: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191,724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changes in: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Accrued interest on investment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13,503</w:t>
            </w: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2,636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Advances, deposits and other current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(60,104)</w:t>
            </w: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(931,654)</w:t>
            </w: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(946,265)</w:t>
            </w:r>
          </w:p>
        </w:tc>
        <w:tc>
          <w:tcPr>
            <w:tcW w:w="60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24,460</w:t>
            </w:r>
          </w:p>
        </w:tc>
      </w:tr>
      <w:tr>
        <w:trPr>
          <w:trHeight w:val="223"/>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(7,923,276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(10,161,871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investment securities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(9,940,894)</w:t>
            </w: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(13,279,686)</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and maturity of investment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15,100,000</w:t>
            </w: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11,900,000</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(11,837)</w:t>
            </w:r>
          </w:p>
        </w:tc>
        <w:tc>
          <w:tcPr>
            <w:tcW w:w="60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(262,728)</w:t>
            </w:r>
          </w:p>
        </w:tc>
      </w:tr>
      <w:tr>
        <w:trPr>
          <w:trHeight w:val="223"/>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5,147,269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(1,642,414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common stock equity, net of issuance costs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18,182,599</w:t>
            </w: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4,464,060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upon conversion of stock options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371,895</w:t>
            </w: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Payroll Protection Program (PPP) loans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1,324,750</w:t>
            </w:r>
          </w:p>
        </w:tc>
        <w:tc>
          <w:tcPr>
            <w:tcW w:w="6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Payroll Protection Program (PPP) loans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(1,324,750)</w:t>
            </w:r>
          </w:p>
        </w:tc>
        <w:tc>
          <w:tcPr>
            <w:tcW w:w="6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18,554,494</w:t>
            </w:r>
          </w:p>
        </w:tc>
        <w:tc>
          <w:tcPr>
            <w:tcW w:w="3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4,464,060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15,778,487</w:t>
            </w: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(7,340,225)</w:t>
            </w: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6,875,273</w:t>
            </w:r>
          </w:p>
        </w:tc>
        <w:tc>
          <w:tcPr>
            <w:tcW w:w="6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13,353,543</w:t>
            </w:r>
          </w:p>
        </w:tc>
      </w:tr>
      <w:tr>
        <w:trPr>
          <w:trHeight w:val="216"/>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22,653,760</w:t>
            </w: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6,013,318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w w:val="99"/>
              </w:rPr>
              <w:t>CONDENSED CONSOLIDATED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20" w:type="dxa"/>
            <w:vAlign w:val="bottom"/>
            <w:gridSpan w:val="2"/>
          </w:tcPr>
          <w:p>
            <w:pPr>
              <w:jc w:val="center"/>
              <w:ind w:left="3350"/>
              <w:spacing w:after="0"/>
              <w:rPr>
                <w:sz w:val="20"/>
                <w:szCs w:val="20"/>
                <w:color w:val="auto"/>
              </w:rPr>
            </w:pPr>
            <w:r>
              <w:rPr>
                <w:rFonts w:ascii="Arial" w:cs="Arial" w:eastAsia="Arial" w:hAnsi="Arial"/>
                <w:sz w:val="18"/>
                <w:szCs w:val="18"/>
                <w:b w:val="1"/>
                <w:bCs w:val="1"/>
                <w:color w:val="auto"/>
                <w:w w:val="96"/>
              </w:rPr>
              <w:t>STATEMENTS OF CASH FLOWS (continued)</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1"/>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74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4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(487,174)</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(508,471)</w:t>
            </w: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lease payments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262,084</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224,585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and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rPr>
              <w:t>Fair value of warrants issued in connection with amendment to modify the GEN-1 earn-out</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7440" w:type="dxa"/>
            <w:vAlign w:val="bottom"/>
          </w:tcPr>
          <w:p>
            <w:pPr>
              <w:ind w:left="180"/>
              <w:spacing w:after="0"/>
              <w:rPr>
                <w:sz w:val="20"/>
                <w:szCs w:val="20"/>
                <w:color w:val="auto"/>
              </w:rPr>
            </w:pPr>
            <w:r>
              <w:rPr>
                <w:rFonts w:ascii="Arial" w:cs="Arial" w:eastAsia="Arial" w:hAnsi="Arial"/>
                <w:sz w:val="18"/>
                <w:szCs w:val="18"/>
                <w:color w:val="auto"/>
              </w:rPr>
              <w:t>milestone payments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 of use assets obtained in exchange for lease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1,797,561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lieu of cash bonus payments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498,632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losses, net, on investment securities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(34,912)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460" w:type="dxa"/>
            <w:vAlign w:val="bottom"/>
            <w:gridSpan w:val="4"/>
          </w:tcPr>
          <w:p>
            <w:pPr>
              <w:jc w:val="center"/>
              <w:ind w:left="17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79"/>
              </w:rPr>
              <w:t>7</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12"/>
          </w:tcPr>
          <w:p>
            <w:pPr>
              <w:jc w:val="right"/>
              <w:ind w:right="1"/>
              <w:spacing w:after="0"/>
              <w:rPr>
                <w:sz w:val="20"/>
                <w:szCs w:val="20"/>
                <w:color w:val="auto"/>
              </w:rPr>
            </w:pPr>
            <w:r>
              <w:rPr>
                <w:rFonts w:ascii="Arial" w:cs="Arial" w:eastAsia="Arial" w:hAnsi="Arial"/>
                <w:sz w:val="18"/>
                <w:szCs w:val="18"/>
                <w:b w:val="1"/>
                <w:bCs w:val="1"/>
                <w:color w:val="auto"/>
              </w:rPr>
              <w:t>THREE MONTHS ENDED JUNE 30,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Common Stock</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2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720" w:type="dxa"/>
            <w:vAlign w:val="bottom"/>
            <w:gridSpan w:val="8"/>
          </w:tcPr>
          <w:p>
            <w:pPr>
              <w:jc w:val="right"/>
              <w:ind w:right="281"/>
              <w:spacing w:after="0"/>
              <w:rPr>
                <w:sz w:val="20"/>
                <w:szCs w:val="20"/>
                <w:color w:val="auto"/>
              </w:rPr>
            </w:pPr>
            <w:r>
              <w:rPr>
                <w:rFonts w:ascii="Arial" w:cs="Arial" w:eastAsia="Arial" w:hAnsi="Arial"/>
                <w:sz w:val="18"/>
                <w:szCs w:val="18"/>
                <w:b w:val="1"/>
                <w:bCs w:val="1"/>
                <w:color w:val="auto"/>
              </w:rPr>
              <w:t>Treasury Stock</w:t>
            </w:r>
          </w:p>
        </w:tc>
        <w:tc>
          <w:tcPr>
            <w:tcW w:w="1520" w:type="dxa"/>
            <w:vAlign w:val="bottom"/>
            <w:gridSpan w:val="6"/>
          </w:tcPr>
          <w:p>
            <w:pPr>
              <w:ind w:left="60"/>
              <w:spacing w:after="0"/>
              <w:rPr>
                <w:sz w:val="20"/>
                <w:szCs w:val="20"/>
                <w:color w:val="auto"/>
              </w:rPr>
            </w:pPr>
            <w:r>
              <w:rPr>
                <w:rFonts w:ascii="Arial" w:cs="Arial" w:eastAsia="Arial" w:hAnsi="Arial"/>
                <w:sz w:val="18"/>
                <w:szCs w:val="18"/>
                <w:b w:val="1"/>
                <w:bCs w:val="1"/>
                <w:color w:val="auto"/>
              </w:rPr>
              <w:t>Comprehensive</w:t>
            </w:r>
          </w:p>
        </w:tc>
        <w:tc>
          <w:tcPr>
            <w:tcW w:w="122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June 30, 2020</w:t>
            </w:r>
          </w:p>
        </w:tc>
        <w:tc>
          <w:tcPr>
            <w:tcW w:w="11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7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Income</w:t>
            </w:r>
          </w:p>
        </w:tc>
        <w:tc>
          <w:tcPr>
            <w:tcW w:w="122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1, 2020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29,257,101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$ 292,574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$ 311,570,995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w w:val="99"/>
              </w:rPr>
              <w:t>$ (85,188)</w:t>
            </w: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 (295,573,658)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$16,208,536</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(5,342,935)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(5,342,935)</w:t>
            </w: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3,831,415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38,314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12,349,538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12,387,852</w:t>
            </w: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upon exercise of options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140,864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1,409</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370,486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371,895</w:t>
            </w: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Realized and unrealized gains</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losses, net, on</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securities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4,053</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4,053</w:t>
            </w: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23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578,761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578,761</w:t>
            </w:r>
          </w:p>
        </w:tc>
      </w:tr>
      <w:tr>
        <w:trPr>
          <w:trHeight w:val="229"/>
        </w:trPr>
        <w:tc>
          <w:tcPr>
            <w:tcW w:w="2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33,229,380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$ 332,297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324,869,780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(85,188</w:t>
            </w:r>
          </w:p>
        </w:tc>
        <w:tc>
          <w:tcPr>
            <w:tcW w:w="180" w:type="dxa"/>
            <w:vAlign w:val="bottom"/>
            <w:tcBorders>
              <w:top w:val="single" w:sz="8" w:color="CCEEFF"/>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(300,916,593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24,208,162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12"/>
          </w:tcPr>
          <w:p>
            <w:pPr>
              <w:jc w:val="right"/>
              <w:ind w:right="1"/>
              <w:spacing w:after="0"/>
              <w:rPr>
                <w:sz w:val="20"/>
                <w:szCs w:val="20"/>
                <w:color w:val="auto"/>
              </w:rPr>
            </w:pPr>
            <w:r>
              <w:rPr>
                <w:rFonts w:ascii="Arial" w:cs="Arial" w:eastAsia="Arial" w:hAnsi="Arial"/>
                <w:sz w:val="18"/>
                <w:szCs w:val="18"/>
                <w:b w:val="1"/>
                <w:bCs w:val="1"/>
                <w:color w:val="auto"/>
              </w:rPr>
              <w:t>THREE MONTHS ENDED JUNE 30, 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Common Stock</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Three Months Ended</w:t>
            </w:r>
          </w:p>
        </w:tc>
        <w:tc>
          <w:tcPr>
            <w:tcW w:w="2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720" w:type="dxa"/>
            <w:vAlign w:val="bottom"/>
            <w:gridSpan w:val="8"/>
          </w:tcPr>
          <w:p>
            <w:pPr>
              <w:jc w:val="right"/>
              <w:ind w:right="281"/>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June 30, 2019</w:t>
            </w:r>
          </w:p>
        </w:tc>
        <w:tc>
          <w:tcPr>
            <w:tcW w:w="11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7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Income</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Income</w:t>
            </w:r>
          </w:p>
        </w:tc>
        <w:tc>
          <w:tcPr>
            <w:tcW w:w="122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1, 2019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19,662,020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$ 196,624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$297,231,041</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960" w:type="dxa"/>
            <w:vAlign w:val="bottom"/>
            <w:gridSpan w:val="5"/>
            <w:shd w:val="clear" w:color="auto" w:fill="CCEEFF"/>
          </w:tcPr>
          <w:p>
            <w:pPr>
              <w:jc w:val="right"/>
              <w:ind w:right="21"/>
              <w:spacing w:after="0"/>
              <w:rPr>
                <w:sz w:val="20"/>
                <w:szCs w:val="20"/>
                <w:color w:val="auto"/>
              </w:rPr>
            </w:pPr>
            <w:r>
              <w:rPr>
                <w:rFonts w:ascii="Arial" w:cs="Arial" w:eastAsia="Arial" w:hAnsi="Arial"/>
                <w:sz w:val="18"/>
                <w:szCs w:val="18"/>
                <w:color w:val="auto"/>
              </w:rPr>
              <w:t>$ (85,188)</w:t>
            </w:r>
          </w:p>
        </w:tc>
        <w:tc>
          <w:tcPr>
            <w:tcW w:w="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86,824</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 (276,032,699)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$21,396,602</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(5,904,515)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(5,904,515)</w:t>
            </w: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1,337,775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13,378</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2,695,798</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2,709,176</w:t>
            </w: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w w:val="95"/>
              </w:rPr>
              <w:t>Realized and unrealized gains</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and losses, net, on</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investments securities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7,752</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7,752</w:t>
            </w: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617,347</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617,347</w:t>
            </w:r>
          </w:p>
        </w:tc>
      </w:tr>
      <w:tr>
        <w:trPr>
          <w:trHeight w:val="236"/>
        </w:trPr>
        <w:tc>
          <w:tcPr>
            <w:tcW w:w="2320" w:type="dxa"/>
            <w:vAlign w:val="bottom"/>
            <w:gridSpan w:val="2"/>
          </w:tcPr>
          <w:p>
            <w:pPr>
              <w:spacing w:after="0"/>
              <w:rPr>
                <w:sz w:val="20"/>
                <w:szCs w:val="20"/>
                <w:color w:val="auto"/>
              </w:rPr>
            </w:pPr>
            <w:r>
              <w:rPr>
                <w:rFonts w:ascii="Arial" w:cs="Arial" w:eastAsia="Arial" w:hAnsi="Arial"/>
                <w:sz w:val="18"/>
                <w:szCs w:val="18"/>
                <w:color w:val="auto"/>
              </w:rPr>
              <w:t>Issuance of restricted stock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2,500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5,325</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5,349</w:t>
            </w:r>
          </w:p>
        </w:tc>
      </w:tr>
      <w:tr>
        <w:trPr>
          <w:trHeight w:val="230"/>
        </w:trPr>
        <w:tc>
          <w:tcPr>
            <w:tcW w:w="2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21,002,295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$ 210,026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$ 300,549,511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(85,188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(281,937,214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$ 18,831,711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gridSpan w:val="16"/>
          </w:tcPr>
          <w:p>
            <w:pPr>
              <w:jc w:val="right"/>
              <w:ind w:right="201"/>
              <w:spacing w:after="0"/>
              <w:rPr>
                <w:sz w:val="20"/>
                <w:szCs w:val="20"/>
                <w:color w:val="auto"/>
              </w:rPr>
            </w:pPr>
            <w:r>
              <w:rPr>
                <w:rFonts w:ascii="Arial" w:cs="Arial" w:eastAsia="Arial" w:hAnsi="Arial"/>
                <w:sz w:val="18"/>
                <w:szCs w:val="18"/>
                <w:b w:val="1"/>
                <w:bCs w:val="1"/>
                <w:color w:val="auto"/>
              </w:rPr>
              <w:t>SIX MONTHS ENDED JUNE 30, 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Other</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22"/>
                <w:szCs w:val="22"/>
                <w:color w:val="auto"/>
              </w:rPr>
            </w:pPr>
          </w:p>
        </w:tc>
        <w:tc>
          <w:tcPr>
            <w:tcW w:w="194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Paid in</w:t>
            </w:r>
          </w:p>
        </w:tc>
        <w:tc>
          <w:tcPr>
            <w:tcW w:w="40" w:type="dxa"/>
            <w:vAlign w:val="bottom"/>
          </w:tcPr>
          <w:p>
            <w:pPr>
              <w:spacing w:after="0"/>
              <w:rPr>
                <w:sz w:val="22"/>
                <w:szCs w:val="22"/>
                <w:color w:val="auto"/>
              </w:rPr>
            </w:pPr>
          </w:p>
        </w:tc>
        <w:tc>
          <w:tcPr>
            <w:tcW w:w="1740" w:type="dxa"/>
            <w:vAlign w:val="bottom"/>
            <w:gridSpan w:val="7"/>
          </w:tcPr>
          <w:p>
            <w:pPr>
              <w:jc w:val="right"/>
              <w:ind w:right="341"/>
              <w:spacing w:after="0"/>
              <w:rPr>
                <w:sz w:val="20"/>
                <w:szCs w:val="20"/>
                <w:color w:val="auto"/>
              </w:rPr>
            </w:pPr>
            <w:r>
              <w:rPr>
                <w:rFonts w:ascii="Arial" w:cs="Arial" w:eastAsia="Arial" w:hAnsi="Arial"/>
                <w:sz w:val="18"/>
                <w:szCs w:val="18"/>
                <w:b w:val="1"/>
                <w:bCs w:val="1"/>
                <w:color w:val="auto"/>
                <w:w w:val="99"/>
              </w:rPr>
              <w:t>Treasury Stock</w:t>
            </w:r>
          </w:p>
        </w:tc>
        <w:tc>
          <w:tcPr>
            <w:tcW w:w="14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4"/>
          </w:tcPr>
          <w:p>
            <w:pPr>
              <w:jc w:val="right"/>
              <w:ind w:right="201"/>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2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June 30, 2020</w:t>
            </w:r>
          </w:p>
        </w:tc>
        <w:tc>
          <w:tcPr>
            <w:tcW w:w="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Income</w:t>
            </w:r>
          </w:p>
        </w:tc>
        <w:tc>
          <w:tcPr>
            <w:tcW w:w="60" w:type="dxa"/>
            <w:vAlign w:val="bottom"/>
          </w:tcPr>
          <w:p>
            <w:pPr>
              <w:spacing w:after="0"/>
              <w:rPr>
                <w:sz w:val="20"/>
                <w:szCs w:val="20"/>
                <w:color w:val="auto"/>
              </w:rPr>
            </w:pPr>
          </w:p>
        </w:tc>
        <w:tc>
          <w:tcPr>
            <w:tcW w:w="1260" w:type="dxa"/>
            <w:vAlign w:val="bottom"/>
            <w:gridSpan w:val="3"/>
          </w:tcPr>
          <w:p>
            <w:pPr>
              <w:jc w:val="right"/>
              <w:ind w:right="441"/>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1"/>
              </w:rPr>
              <w:t>Balance at January 1, 2020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23,255,818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$ 232,562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$304,885,663</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 (85,188)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(290,516,780)</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$ 14,559,035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4"/>
          </w:tcPr>
          <w:p>
            <w:pPr>
              <w:jc w:val="right"/>
              <w:ind w:right="101"/>
              <w:spacing w:after="0"/>
              <w:rPr>
                <w:sz w:val="20"/>
                <w:szCs w:val="20"/>
                <w:color w:val="auto"/>
              </w:rPr>
            </w:pPr>
            <w:r>
              <w:rPr>
                <w:rFonts w:ascii="Arial" w:cs="Arial" w:eastAsia="Arial" w:hAnsi="Arial"/>
                <w:sz w:val="18"/>
                <w:szCs w:val="18"/>
                <w:color w:val="auto"/>
              </w:rPr>
              <w:t>(10,399,813)</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w w:val="99"/>
              </w:rPr>
              <w:t>(10,399,813)</w:t>
            </w: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9,402,843</w:t>
            </w:r>
          </w:p>
        </w:tc>
        <w:tc>
          <w:tcPr>
            <w:tcW w:w="10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94,027</w:t>
            </w:r>
          </w:p>
        </w:tc>
        <w:tc>
          <w:tcPr>
            <w:tcW w:w="10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18,088,572</w:t>
            </w:r>
          </w:p>
        </w:tc>
        <w:tc>
          <w:tcPr>
            <w:tcW w:w="2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18,182,599</w:t>
            </w:r>
          </w:p>
        </w:tc>
        <w:tc>
          <w:tcPr>
            <w:tcW w:w="80" w:type="dxa"/>
            <w:vAlign w:val="bottom"/>
            <w:shd w:val="clear" w:color="auto" w:fill="CCEEFF"/>
          </w:tcPr>
          <w:p>
            <w:pPr>
              <w:spacing w:after="0"/>
              <w:rPr>
                <w:sz w:val="20"/>
                <w:szCs w:val="20"/>
                <w:color w:val="auto"/>
              </w:rPr>
            </w:pPr>
          </w:p>
        </w:tc>
      </w:tr>
      <w:tr>
        <w:trPr>
          <w:trHeight w:val="202"/>
        </w:trPr>
        <w:tc>
          <w:tcPr>
            <w:tcW w:w="228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color w:val="auto"/>
              </w:rPr>
              <w:t>upon exercise of options</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140,864</w:t>
            </w:r>
          </w:p>
        </w:tc>
        <w:tc>
          <w:tcPr>
            <w:tcW w:w="100" w:type="dxa"/>
            <w:vAlign w:val="bottom"/>
          </w:tcPr>
          <w:p>
            <w:pPr>
              <w:spacing w:after="0"/>
              <w:rPr>
                <w:sz w:val="20"/>
                <w:szCs w:val="20"/>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370,486</w:t>
            </w:r>
          </w:p>
        </w:tc>
        <w:tc>
          <w:tcPr>
            <w:tcW w:w="2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371,895</w:t>
            </w:r>
          </w:p>
        </w:tc>
        <w:tc>
          <w:tcPr>
            <w:tcW w:w="80" w:type="dxa"/>
            <w:vAlign w:val="bottom"/>
          </w:tcPr>
          <w:p>
            <w:pPr>
              <w:spacing w:after="0"/>
              <w:rPr>
                <w:sz w:val="20"/>
                <w:szCs w:val="20"/>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and losses, net, on</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securities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(34,912)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(34,912)</w:t>
            </w:r>
          </w:p>
        </w:tc>
      </w:tr>
      <w:tr>
        <w:trPr>
          <w:trHeight w:val="202"/>
        </w:trPr>
        <w:tc>
          <w:tcPr>
            <w:tcW w:w="2280" w:type="dxa"/>
            <w:vAlign w:val="bottom"/>
            <w:gridSpan w:val="3"/>
          </w:tcPr>
          <w:p>
            <w:pPr>
              <w:spacing w:after="0" w:line="201" w:lineRule="exact"/>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1,030,726</w:t>
            </w:r>
          </w:p>
        </w:tc>
        <w:tc>
          <w:tcPr>
            <w:tcW w:w="2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1,030,726</w:t>
            </w:r>
          </w:p>
        </w:tc>
        <w:tc>
          <w:tcPr>
            <w:tcW w:w="80" w:type="dxa"/>
            <w:vAlign w:val="bottom"/>
          </w:tcPr>
          <w:p>
            <w:pPr>
              <w:spacing w:after="0"/>
              <w:rPr>
                <w:sz w:val="20"/>
                <w:szCs w:val="20"/>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in</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lieu of cash bonus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429,855</w:t>
            </w:r>
          </w:p>
        </w:tc>
        <w:tc>
          <w:tcPr>
            <w:tcW w:w="10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494,333</w:t>
            </w: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498,632</w:t>
            </w:r>
          </w:p>
        </w:tc>
        <w:tc>
          <w:tcPr>
            <w:tcW w:w="80" w:type="dxa"/>
            <w:vAlign w:val="bottom"/>
            <w:shd w:val="clear" w:color="auto" w:fill="CCEEFF"/>
          </w:tcPr>
          <w:p>
            <w:pPr>
              <w:spacing w:after="0"/>
              <w:rPr>
                <w:sz w:val="22"/>
                <w:szCs w:val="22"/>
                <w:color w:val="auto"/>
              </w:rPr>
            </w:pPr>
          </w:p>
        </w:tc>
      </w:tr>
      <w:tr>
        <w:trPr>
          <w:trHeight w:val="216"/>
        </w:trPr>
        <w:tc>
          <w:tcPr>
            <w:tcW w:w="22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Balance at June 30, 2020</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33,229,380</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$ 332,297</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324,869,780</w:t>
            </w: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(85,188</w:t>
            </w:r>
          </w:p>
        </w:tc>
        <w:tc>
          <w:tcPr>
            <w:tcW w:w="240" w:type="dxa"/>
            <w:vAlign w:val="bottom"/>
            <w:tcBorders>
              <w:top w:val="single" w:sz="8" w:color="CCEEFF"/>
            </w:tcBorders>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7,866</w:t>
            </w: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(300,916,593</w:t>
            </w:r>
          </w:p>
        </w:tc>
        <w:tc>
          <w:tcPr>
            <w:tcW w:w="240" w:type="dxa"/>
            <w:vAlign w:val="bottom"/>
            <w:tcBorders>
              <w:top w:val="single" w:sz="8" w:color="CCEEFF"/>
            </w:tcBorders>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$ 24,208,162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gridSpan w:val="16"/>
          </w:tcPr>
          <w:p>
            <w:pPr>
              <w:jc w:val="right"/>
              <w:ind w:right="201"/>
              <w:spacing w:after="0"/>
              <w:rPr>
                <w:sz w:val="20"/>
                <w:szCs w:val="20"/>
                <w:color w:val="auto"/>
              </w:rPr>
            </w:pPr>
            <w:r>
              <w:rPr>
                <w:rFonts w:ascii="Arial" w:cs="Arial" w:eastAsia="Arial" w:hAnsi="Arial"/>
                <w:sz w:val="18"/>
                <w:szCs w:val="18"/>
                <w:b w:val="1"/>
                <w:bCs w:val="1"/>
                <w:color w:val="auto"/>
              </w:rPr>
              <w:t>SIX MONTHS ENDED JUNE 30, 2019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22"/>
                <w:szCs w:val="22"/>
                <w:color w:val="auto"/>
              </w:rPr>
            </w:pPr>
          </w:p>
        </w:tc>
        <w:tc>
          <w:tcPr>
            <w:tcW w:w="194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Paid in</w:t>
            </w:r>
          </w:p>
        </w:tc>
        <w:tc>
          <w:tcPr>
            <w:tcW w:w="40" w:type="dxa"/>
            <w:vAlign w:val="bottom"/>
          </w:tcPr>
          <w:p>
            <w:pPr>
              <w:spacing w:after="0"/>
              <w:rPr>
                <w:sz w:val="22"/>
                <w:szCs w:val="22"/>
                <w:color w:val="auto"/>
              </w:rPr>
            </w:pPr>
          </w:p>
        </w:tc>
        <w:tc>
          <w:tcPr>
            <w:tcW w:w="1740" w:type="dxa"/>
            <w:vAlign w:val="bottom"/>
            <w:gridSpan w:val="7"/>
          </w:tcPr>
          <w:p>
            <w:pPr>
              <w:jc w:val="right"/>
              <w:ind w:right="301"/>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22"/>
                <w:szCs w:val="22"/>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60" w:type="dxa"/>
            <w:vAlign w:val="bottom"/>
          </w:tcPr>
          <w:p>
            <w:pPr>
              <w:spacing w:after="0"/>
              <w:rPr>
                <w:sz w:val="22"/>
                <w:szCs w:val="22"/>
                <w:color w:val="auto"/>
              </w:rPr>
            </w:pPr>
          </w:p>
        </w:tc>
        <w:tc>
          <w:tcPr>
            <w:tcW w:w="126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2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June 30, 2019</w:t>
            </w:r>
          </w:p>
        </w:tc>
        <w:tc>
          <w:tcPr>
            <w:tcW w:w="40" w:type="dxa"/>
            <w:vAlign w:val="bottom"/>
          </w:tcPr>
          <w:p>
            <w:pPr>
              <w:spacing w:after="0"/>
              <w:rPr>
                <w:sz w:val="20"/>
                <w:szCs w:val="20"/>
                <w:color w:val="auto"/>
              </w:rPr>
            </w:pPr>
          </w:p>
        </w:tc>
        <w:tc>
          <w:tcPr>
            <w:tcW w:w="10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Capital</w:t>
            </w:r>
          </w:p>
        </w:tc>
        <w:tc>
          <w:tcPr>
            <w:tcW w:w="40" w:type="dxa"/>
            <w:vAlign w:val="bottom"/>
          </w:tcPr>
          <w:p>
            <w:pPr>
              <w:spacing w:after="0"/>
              <w:rPr>
                <w:sz w:val="20"/>
                <w:szCs w:val="20"/>
                <w:color w:val="auto"/>
              </w:rPr>
            </w:pPr>
          </w:p>
        </w:tc>
        <w:tc>
          <w:tcPr>
            <w:tcW w:w="8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Income</w:t>
            </w:r>
          </w:p>
        </w:tc>
        <w:tc>
          <w:tcPr>
            <w:tcW w:w="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Income</w:t>
            </w:r>
          </w:p>
        </w:tc>
        <w:tc>
          <w:tcPr>
            <w:tcW w:w="60" w:type="dxa"/>
            <w:vAlign w:val="bottom"/>
          </w:tcPr>
          <w:p>
            <w:pPr>
              <w:spacing w:after="0"/>
              <w:rPr>
                <w:sz w:val="20"/>
                <w:szCs w:val="20"/>
                <w:color w:val="auto"/>
              </w:rPr>
            </w:pPr>
          </w:p>
        </w:tc>
        <w:tc>
          <w:tcPr>
            <w:tcW w:w="1260" w:type="dxa"/>
            <w:vAlign w:val="bottom"/>
            <w:gridSpan w:val="3"/>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Balance at 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18,831,834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$ 188,322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$294,393,313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 (85,188)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(273,665,247)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$20,861,072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41"/>
              <w:spacing w:after="0"/>
              <w:rPr>
                <w:sz w:val="20"/>
                <w:szCs w:val="20"/>
                <w:color w:val="auto"/>
              </w:rPr>
            </w:pPr>
            <w:r>
              <w:rPr>
                <w:rFonts w:ascii="Arial" w:cs="Arial" w:eastAsia="Arial" w:hAnsi="Arial"/>
                <w:sz w:val="18"/>
                <w:szCs w:val="18"/>
                <w:color w:val="auto"/>
              </w:rPr>
              <w:t>(8,271,967)</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(8,271,967)</w:t>
            </w: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2,159,961</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21,599</w:t>
            </w:r>
          </w:p>
        </w:tc>
        <w:tc>
          <w:tcPr>
            <w:tcW w:w="13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4,442,461</w:t>
            </w: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4,464,060</w:t>
            </w:r>
          </w:p>
        </w:tc>
        <w:tc>
          <w:tcPr>
            <w:tcW w:w="80" w:type="dxa"/>
            <w:vAlign w:val="bottom"/>
            <w:shd w:val="clear" w:color="auto" w:fill="CCEEFF"/>
          </w:tcPr>
          <w:p>
            <w:pPr>
              <w:spacing w:after="0"/>
              <w:rPr>
                <w:sz w:val="20"/>
                <w:szCs w:val="20"/>
                <w:color w:val="auto"/>
              </w:rPr>
            </w:pPr>
          </w:p>
        </w:tc>
      </w:tr>
      <w:tr>
        <w:trPr>
          <w:trHeight w:val="202"/>
        </w:trPr>
        <w:tc>
          <w:tcPr>
            <w:tcW w:w="2280" w:type="dxa"/>
            <w:vAlign w:val="bottom"/>
            <w:gridSpan w:val="3"/>
          </w:tcPr>
          <w:p>
            <w:pPr>
              <w:spacing w:after="0" w:line="201" w:lineRule="exact"/>
              <w:rPr>
                <w:sz w:val="20"/>
                <w:szCs w:val="20"/>
                <w:color w:val="auto"/>
              </w:rPr>
            </w:pPr>
            <w:r>
              <w:rPr>
                <w:rFonts w:ascii="Arial" w:cs="Arial" w:eastAsia="Arial" w:hAnsi="Arial"/>
                <w:sz w:val="18"/>
                <w:szCs w:val="18"/>
                <w:color w:val="auto"/>
              </w:rPr>
              <w:t>Common stock warrants</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80" w:type="dxa"/>
            <w:vAlign w:val="bottom"/>
            <w:gridSpan w:val="3"/>
          </w:tcPr>
          <w:p>
            <w:pPr>
              <w:spacing w:after="0"/>
              <w:rPr>
                <w:sz w:val="20"/>
                <w:szCs w:val="20"/>
                <w:color w:val="auto"/>
              </w:rPr>
            </w:pPr>
            <w:r>
              <w:rPr>
                <w:rFonts w:ascii="Arial" w:cs="Arial" w:eastAsia="Arial" w:hAnsi="Arial"/>
                <w:sz w:val="18"/>
                <w:szCs w:val="18"/>
                <w:color w:val="auto"/>
              </w:rPr>
              <w:t>issued in connection with</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80" w:type="dxa"/>
            <w:vAlign w:val="bottom"/>
            <w:gridSpan w:val="3"/>
          </w:tcPr>
          <w:p>
            <w:pPr>
              <w:spacing w:after="0"/>
              <w:rPr>
                <w:sz w:val="20"/>
                <w:szCs w:val="20"/>
                <w:color w:val="auto"/>
              </w:rPr>
            </w:pPr>
            <w:r>
              <w:rPr>
                <w:rFonts w:ascii="Arial" w:cs="Arial" w:eastAsia="Arial" w:hAnsi="Arial"/>
                <w:sz w:val="18"/>
                <w:szCs w:val="18"/>
                <w:color w:val="auto"/>
                <w:w w:val="96"/>
              </w:rPr>
              <w:t>amendment to modify GEN-1</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color w:val="auto"/>
                <w:w w:val="97"/>
              </w:rPr>
              <w:t>earn-out milestone payments</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200"/>
              <w:spacing w:after="0"/>
              <w:rPr>
                <w:sz w:val="20"/>
                <w:szCs w:val="20"/>
                <w:color w:val="auto"/>
              </w:rPr>
            </w:pPr>
            <w:r>
              <w:rPr>
                <w:rFonts w:ascii="Arial" w:cs="Arial" w:eastAsia="Arial" w:hAnsi="Arial"/>
                <w:sz w:val="18"/>
                <w:szCs w:val="18"/>
                <w:color w:val="auto"/>
              </w:rPr>
              <w:t>400,000</w:t>
            </w: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0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Realized and unrealized gains</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 losses, net, on</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securities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64,704</w:t>
            </w:r>
          </w:p>
        </w:tc>
        <w:tc>
          <w:tcPr>
            <w:tcW w:w="132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64,704</w:t>
            </w:r>
          </w:p>
        </w:tc>
        <w:tc>
          <w:tcPr>
            <w:tcW w:w="80" w:type="dxa"/>
            <w:vAlign w:val="bottom"/>
            <w:shd w:val="clear" w:color="auto" w:fill="CCEEFF"/>
          </w:tcPr>
          <w:p>
            <w:pPr>
              <w:spacing w:after="0"/>
              <w:rPr>
                <w:sz w:val="20"/>
                <w:szCs w:val="20"/>
                <w:color w:val="auto"/>
              </w:rPr>
            </w:pPr>
          </w:p>
        </w:tc>
      </w:tr>
      <w:tr>
        <w:trPr>
          <w:trHeight w:val="202"/>
        </w:trPr>
        <w:tc>
          <w:tcPr>
            <w:tcW w:w="2280" w:type="dxa"/>
            <w:vAlign w:val="bottom"/>
            <w:gridSpan w:val="3"/>
          </w:tcPr>
          <w:p>
            <w:pPr>
              <w:spacing w:after="0" w:line="201" w:lineRule="exact"/>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200"/>
              <w:spacing w:after="0"/>
              <w:rPr>
                <w:sz w:val="20"/>
                <w:szCs w:val="20"/>
                <w:color w:val="auto"/>
              </w:rPr>
            </w:pPr>
            <w:r>
              <w:rPr>
                <w:rFonts w:ascii="Arial" w:cs="Arial" w:eastAsia="Arial" w:hAnsi="Arial"/>
                <w:sz w:val="18"/>
                <w:szCs w:val="18"/>
                <w:color w:val="auto"/>
              </w:rPr>
              <w:t>1,308,492</w:t>
            </w: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0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1,308,492</w:t>
            </w:r>
          </w:p>
        </w:tc>
        <w:tc>
          <w:tcPr>
            <w:tcW w:w="80" w:type="dxa"/>
            <w:vAlign w:val="bottom"/>
          </w:tcPr>
          <w:p>
            <w:pPr>
              <w:spacing w:after="0"/>
              <w:rPr>
                <w:sz w:val="20"/>
                <w:szCs w:val="20"/>
                <w:color w:val="auto"/>
              </w:rPr>
            </w:pPr>
          </w:p>
        </w:tc>
      </w:tr>
      <w:tr>
        <w:trPr>
          <w:trHeight w:val="249"/>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3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5,245</w:t>
            </w: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CEEFF"/>
          </w:tcPr>
          <w:p>
            <w:pPr>
              <w:spacing w:after="0"/>
              <w:rPr>
                <w:sz w:val="21"/>
                <w:szCs w:val="21"/>
                <w:color w:val="auto"/>
              </w:rPr>
            </w:pPr>
          </w:p>
        </w:tc>
      </w:tr>
      <w:tr>
        <w:trPr>
          <w:trHeight w:val="217"/>
        </w:trPr>
        <w:tc>
          <w:tcPr>
            <w:tcW w:w="22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Balance at June 30, 2019</w:t>
            </w: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21,002,295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$ 210,026</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$ 300,549,511</w:t>
            </w: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 (85,188</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94,576</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(281,937,214</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gridSpan w:val="2"/>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$ 18,831,711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(“Celsion” and the “Company”) is a fully integrated development stage oncology drug company focused on advancing a portfolio of innovative cancer treatments, including directed chemotherapies, DNA-mediated immunotherapy and RNA based therapies. Celsion is a fully integrated oncology company focused on developing a portfolio of innovative cancer treatments, including immunotherapies, DNA-based therapies and directed chemotherapies. The Company’s product pipeline includes GEN-1, a DNA-based immunotherapy for the localized treatment of ovarian cancer and ThermoDox®, a proprietary heat-activated liposomal encapsulation of doxorubicin, currently in Phase III development for the treatment of primary liver cancer and in development for other cancer indications. Celsion has two feasibility stage platform technologies for the development of novel nucleic acid-based immunotherapies and other anti-cancer DNA or RNA therapies. Both are novel synthetic, non-viral vectors with demonstrated capability in nucleic acid cellular transfection.With these technologies we are working to develop and commercialize more efficient, effective and targeted oncology therapies that maximize efficacy while minimizing side-effects common to cancer treatments.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the Company and its wholly owned subsidiary, CLSN Laboratories, Inc,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and six-month periods ended June 30, 2020 and 2019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2019 filed with the Securities and Exchange Commission (SEC) on March 25, 2020.</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amounts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With the recent introduction of the COVID-19 pandemic to the United States, the Company continues to monitor the impact of this pandemic on its financial condition and results of operations, along with the valuation of its long-term assets, intangible assets, and goodwill. The effect of this matter could potentially have an impact on the valuation of such assets in the future. The COVID-19 matter is discussed in more detail in Note 3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June 30, 2020, the Company has incurred approximately $301 million of cumulative net losses and we had approximately $25.5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2020, the World Health Organization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United States.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three-month and six-month periods ended June 30,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ability to raise additional capital may be adversely impacted by potential worsening global economic conditions and the recent disruptions to, and volatility in, financial markets in the United States and worldwide resulting from the ongoing COVID-19 pandemic. The disruptions caused by COVID-19 may also disrupt the clinical trials process and enrolment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if any, is not readily determinable as of the date of these financial statements.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July 13, 2020, the Company announced that it has received a recommendation from the independent Data Monitoring Committee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radiofrequency ablation (RFA) for the treatment of hepatocellular carcinoma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intends to follow the advice of the DMC and will consider its options to either stop the study or continue to follow patients after a thorough review of the data, and an evaluation of the probability of success. Timing for this decision is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During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The Company received approval from the New Jersey Economic Development Authority to sell $1.9 million of its State of New Jersey net operating losses recognizing a tax benefit for the year ended December 31, 2019 for the net proceeds (approximately $1.8 million). In early 2020, the Company entered into an agreement to sell these net operating losses. In April of 2020, the Company completed the sale of its State of New Jersey net operating losses and received $1.8 million in net proceeds. In 2018, the Company completed the sale of a portion of its State of New Jersey net operating losses for calendar years 2011 - 2017 totalling approximately $11.1 million for net proceeds of approximately $10.4 million in December 2018. The proceeds of $10.4 million were reflected as a tax benefit for the year ended December 31, 2018. In June 2020, the Company filed an application with the New Jersey Economic Development Authority to sell substantially all of its remaining State of New Jersey net operating losses totalling $2.0 million available under the program.</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the Company entered into the Horizon Credit Agreement with Horizon Technology Finance Corporation (“Horizon”) that provided $10 million in new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through July 2020, followed by a 24-month amortization period of principal and interest starting on August 1, 2020 and ending through the scheduled maturity date.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$25.5 million in cash, investments, interest receivable and up to $2.0 million in potential proceeds from the sale of the 2019 State of New Jersey net operating losses, coupled with remaining availability under the Capital-on-Demand™ Sales Agreement (the “Capital on Demand Agreement”) with JonesTrading Institutional Services LLC, the Company believes it has sufficient capital resources to fund its operations through the end of 2021.</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Accounting Standards Update No. 2016-13, “Financial Instruments – Credit Losses (Topic 326): Measurement of Credit Losses on Financial Instruments”, which modifies the measurement of expected credit losses on certain financial instruments. The Company will adopt ASU 2016-13 in its first quarter of 2021 utilizing the modified retrospective transition method. Based on the composition of the Company’s investment portfolio and current market conditions, the adoption of ASU 2016-13 is not expected to have a material impact on its condensed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adoption of this standard did not have an impact on the Company’s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is currently evaluating the impact that the adoption of this standard will have on its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total number of shares of common stock issuable upon exercise of warrants, stock option grants and equity awards were 8,560,124 and 4,595,990 shares for the six-month periods ended June 30, 2020 and 2019, respectively. Warrants with an exercise price of $0.01 (as more fully described in Note 13) exercisable for 200,000 shares of common stock were considered issued in calculating basic loss per share. For the three-month and six-month periods ended June 30, 2020 and 2019,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six-month periods ended June 30, 2020 and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Debt Securities Available for Sale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Investments in debt securities available for sale with a fair value of $2,791,868 and $7,985,886 as of June 30, 2020 and December 31, 2019, respectively, consist of corporate debt securities. These investments are valued at estimated fair value, with unrealized gains and losses reported as a separate component of stockholders’ equity in accumulated other comprehensive loss.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6"/>
          </w:tcPr>
          <w:p>
            <w:pPr>
              <w:ind w:left="620"/>
              <w:spacing w:after="0"/>
              <w:rPr>
                <w:sz w:val="20"/>
                <w:szCs w:val="20"/>
                <w:color w:val="auto"/>
              </w:rPr>
            </w:pPr>
            <w:r>
              <w:rPr>
                <w:rFonts w:ascii="Arial" w:cs="Arial" w:eastAsia="Arial" w:hAnsi="Arial"/>
                <w:sz w:val="18"/>
                <w:szCs w:val="18"/>
                <w:b w:val="1"/>
                <w:bCs w:val="1"/>
                <w:color w:val="auto"/>
              </w:rPr>
              <w:t>June 30, 2020</w:t>
            </w:r>
          </w:p>
        </w:tc>
        <w:tc>
          <w:tcPr>
            <w:tcW w:w="260" w:type="dxa"/>
            <w:vAlign w:val="bottom"/>
          </w:tcPr>
          <w:p>
            <w:pPr>
              <w:spacing w:after="0"/>
              <w:rPr>
                <w:sz w:val="20"/>
                <w:szCs w:val="20"/>
                <w:color w:val="auto"/>
              </w:rPr>
            </w:pPr>
          </w:p>
        </w:tc>
        <w:tc>
          <w:tcPr>
            <w:tcW w:w="2620" w:type="dxa"/>
            <w:vAlign w:val="bottom"/>
            <w:gridSpan w:val="6"/>
          </w:tcPr>
          <w:p>
            <w:pPr>
              <w:ind w:left="400"/>
              <w:spacing w:after="0"/>
              <w:rPr>
                <w:sz w:val="20"/>
                <w:szCs w:val="20"/>
                <w:color w:val="auto"/>
              </w:rPr>
            </w:pPr>
            <w:r>
              <w:rPr>
                <w:rFonts w:ascii="Arial" w:cs="Arial" w:eastAsia="Arial" w:hAnsi="Arial"/>
                <w:sz w:val="18"/>
                <w:szCs w:val="18"/>
                <w:b w:val="1"/>
                <w:bCs w:val="1"/>
                <w:color w:val="auto"/>
              </w:rPr>
              <w:t>December 31, 2019</w:t>
            </w:r>
          </w:p>
        </w:tc>
      </w:tr>
      <w:tr>
        <w:trPr>
          <w:trHeight w:val="237"/>
        </w:trPr>
        <w:tc>
          <w:tcPr>
            <w:tcW w:w="5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Investments in debt securities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2,784,002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2,791,868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7,943,108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7"/>
              </w:rPr>
              <w:t>2,784,002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7"/>
              </w:rPr>
              <w:t>2,791,868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7,943,108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ind w:left="680"/>
              <w:spacing w:after="0"/>
              <w:rPr>
                <w:sz w:val="20"/>
                <w:szCs w:val="20"/>
                <w:color w:val="auto"/>
              </w:rPr>
            </w:pPr>
            <w:r>
              <w:rPr>
                <w:rFonts w:ascii="Arial" w:cs="Arial" w:eastAsia="Arial" w:hAnsi="Arial"/>
                <w:sz w:val="18"/>
                <w:szCs w:val="18"/>
                <w:b w:val="1"/>
                <w:bCs w:val="1"/>
                <w:color w:val="auto"/>
              </w:rPr>
              <w:t>June 30, 2020</w:t>
            </w:r>
          </w:p>
        </w:tc>
        <w:tc>
          <w:tcPr>
            <w:tcW w:w="260" w:type="dxa"/>
            <w:vAlign w:val="bottom"/>
          </w:tcPr>
          <w:p>
            <w:pPr>
              <w:spacing w:after="0"/>
              <w:rPr>
                <w:sz w:val="20"/>
                <w:szCs w:val="20"/>
                <w:color w:val="auto"/>
              </w:rPr>
            </w:pPr>
          </w:p>
        </w:tc>
        <w:tc>
          <w:tcPr>
            <w:tcW w:w="2620" w:type="dxa"/>
            <w:vAlign w:val="bottom"/>
            <w:gridSpan w:val="6"/>
          </w:tcPr>
          <w:p>
            <w:pPr>
              <w:ind w:left="400"/>
              <w:spacing w:after="0"/>
              <w:rPr>
                <w:sz w:val="20"/>
                <w:szCs w:val="20"/>
                <w:color w:val="auto"/>
              </w:rPr>
            </w:pPr>
            <w:r>
              <w:rPr>
                <w:rFonts w:ascii="Arial" w:cs="Arial" w:eastAsia="Arial" w:hAnsi="Arial"/>
                <w:sz w:val="18"/>
                <w:szCs w:val="18"/>
                <w:b w:val="1"/>
                <w:bCs w:val="1"/>
                <w:color w:val="auto"/>
              </w:rPr>
              <w:t>December 31, 2019</w:t>
            </w:r>
          </w:p>
        </w:tc>
      </w:tr>
      <w:tr>
        <w:trPr>
          <w:trHeight w:val="236"/>
        </w:trPr>
        <w:tc>
          <w:tcPr>
            <w:tcW w:w="5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Within 3 months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2,784,002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2,791,868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7,943,108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7"/>
              </w:rPr>
              <w:t>2,784,002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7"/>
              </w:rPr>
              <w:t>2,791,868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7,943,108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The following table shows the Company’s investment securities gross unrealized gains (losses) and fair value by investment category and length of time that individual securities have been in a continuous unrealized loss position at June 30, 2020 and December 31, 2019. The Company has reviewed individual securities to determine whether a decline in fair value below the amortizable cost basis is other than temporary.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6"/>
          </w:tcPr>
          <w:p>
            <w:pPr>
              <w:ind w:left="74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Pr>
          <w:p>
            <w:pPr>
              <w:spacing w:after="0"/>
              <w:rPr>
                <w:sz w:val="20"/>
                <w:szCs w:val="20"/>
                <w:color w:val="auto"/>
              </w:rPr>
            </w:pPr>
          </w:p>
        </w:tc>
        <w:tc>
          <w:tcPr>
            <w:tcW w:w="2740" w:type="dxa"/>
            <w:vAlign w:val="bottom"/>
            <w:gridSpan w:val="7"/>
          </w:tcPr>
          <w:p>
            <w:pPr>
              <w:ind w:left="52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gridSpan w:val="2"/>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Available for sale securities </w:t>
            </w:r>
            <w:r>
              <w:rPr>
                <w:rFonts w:ascii="Arial" w:cs="Arial" w:eastAsia="Arial" w:hAnsi="Arial"/>
                <w:sz w:val="18"/>
                <w:szCs w:val="18"/>
                <w:color w:val="auto"/>
              </w:rPr>
              <w:t>(all unrealized holding gains and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Holding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Holding</w:t>
            </w:r>
          </w:p>
        </w:tc>
      </w:tr>
      <w:tr>
        <w:trPr>
          <w:trHeight w:val="241"/>
        </w:trPr>
        <w:tc>
          <w:tcPr>
            <w:tcW w:w="5200" w:type="dxa"/>
            <w:vAlign w:val="bottom"/>
            <w:gridSpan w:val="2"/>
          </w:tcPr>
          <w:p>
            <w:pPr>
              <w:spacing w:after="0"/>
              <w:rPr>
                <w:sz w:val="20"/>
                <w:szCs w:val="20"/>
                <w:color w:val="auto"/>
              </w:rPr>
            </w:pPr>
            <w:r>
              <w:rPr>
                <w:rFonts w:ascii="Arial" w:cs="Arial" w:eastAsia="Arial" w:hAnsi="Arial"/>
                <w:sz w:val="18"/>
                <w:szCs w:val="18"/>
                <w:color w:val="auto"/>
              </w:rPr>
              <w:t>losses are less than 12 months at date of measurement)</w:t>
            </w:r>
          </w:p>
        </w:tc>
        <w:tc>
          <w:tcPr>
            <w:tcW w:w="14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Gains</w:t>
            </w:r>
          </w:p>
        </w:tc>
      </w:tr>
      <w:tr>
        <w:trPr>
          <w:trHeight w:val="216"/>
        </w:trPr>
        <w:tc>
          <w:tcPr>
            <w:tcW w:w="4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debt securities with unrealized Gains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2,791,868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7,866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7,985,886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42,778</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2,791,868</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4"/>
              </w:rPr>
              <w:t>7,866</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7,985,886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income, which includes net realized gains on sales of available for sale securities and investment income interest and dividends, is summarized as follows:</w:t>
      </w:r>
    </w:p>
    <w:p>
      <w:pPr>
        <w:spacing w:after="0" w:line="166"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143,633</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Realized gains</w:t>
            </w:r>
          </w:p>
        </w:tc>
        <w:tc>
          <w:tcPr>
            <w:tcW w:w="1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2,865</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12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1060" w:type="dxa"/>
            <w:vAlign w:val="bottom"/>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248,043</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Realized gains</w:t>
            </w:r>
          </w:p>
        </w:tc>
        <w:tc>
          <w:tcPr>
            <w:tcW w:w="10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46,097</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10,350</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06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109,269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and cash equivalents, accounts payable and other accrued liabilities are reflected in the condensed consolidated balance sheet at their approximate estimated fair values primarily due to their short-term nature. The fair values of securities available for sale are determined by relying on the securities’ relationship to other benchmark quoted securities and classified its investments as Level 2 items at June 30, 2020 and December 31, 2019. There were no transfers of assets or liabilities between Level 1 and Level 2 and no transfers in or out of Level 3 during the six-month period ended June 30, 2020 or during the year ended December 31, 2019.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13). The in-process R&amp;D is valued using a multi-period excess earnings method (see Note 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w w:val="93"/>
              </w:rPr>
              <w:t>Assets and liabilities measured at fair value are summarized below:</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Quoted Prices in</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Active Markets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 Fair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Assets/Liabilities</w:t>
            </w: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Unobservable</w:t>
            </w:r>
          </w:p>
        </w:tc>
      </w:tr>
      <w:tr>
        <w:trPr>
          <w:trHeight w:val="241"/>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1)</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Inputs (Level 2)</w:t>
            </w:r>
          </w:p>
        </w:tc>
        <w:tc>
          <w:tcPr>
            <w:tcW w:w="1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16"/>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2,791,868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2,791,868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Recurring items as of December 31, 2019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7,985,886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7,985,886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Earn-out milestone liability (Note 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6,015,279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6,015,279</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Recurring items as of December 31, 2019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milestone liability (Note 13)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5,717,709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5,717,709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2014, we completed the acquisition of substantially all of the assets of EGEN, Inc., an Alabama corporation, which has changed its company name to EGWU, Inc. after the closing of the acquisition (“EGEN”).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ovarian cancer indication, with original value of $13.3 million, has not been impaired since its acquisition. At September 30, 2019, the Company evaluated its IPR&amp;D of the ovarian cancer indication and concluded that it is not more likely than not that the asset is impaired. As no other indicators of impairment existed during the fourth quarter of 2019, or first half of 2020, no impairment charges were recorded during the six months ended June 30, 2020 and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GBM candidate, with original value of $9.4 million had cumulative impairments through 2018 of $7 million, with remaining carrying value of $2.4 million at December 31, 2019 and March 31, 2020, On September 30, 2019, the Company evaluated its IPR&amp;D of the (GBM) product candidate and concluded that it is not more likely than not that the asset is further impaired. As no other indicators of impairment existed during the fourth quarter of 2019 and in the first half of 2020, no impairment charges were recorded during the six months ended June 30,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RNA delivery system, with an initial value of $1.5, million was previously fully impaired.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in each of the three-month periods ended June 30, 2020 and 2019. The Company recognized amortization expense of $113,658 in each of the six-month periods ended June 30, 2020 and 2019.</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Covenant Not to Compete was $227,318, net of $1,363,896 accumulated amortization as of June 30, 2020 and $340,976, net of $1,250,238 accumulated amortization, as of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Arial" w:cs="Arial" w:eastAsia="Arial" w:hAnsi="Arial"/>
                <w:sz w:val="18"/>
                <w:szCs w:val="18"/>
                <w:color w:val="auto"/>
                <w:w w:val="96"/>
              </w:rPr>
              <w:t>Following is a schedule of future amortization amounts during the remaining life of the Covenant Not to Compete.</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16"/>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40" w:type="dxa"/>
            <w:vAlign w:val="bottom"/>
          </w:tcPr>
          <w:p>
            <w:pPr>
              <w:spacing w:after="0"/>
              <w:rPr>
                <w:sz w:val="20"/>
                <w:szCs w:val="20"/>
                <w:color w:val="auto"/>
              </w:rPr>
            </w:pPr>
            <w:r>
              <w:rPr>
                <w:rFonts w:ascii="Arial" w:cs="Arial" w:eastAsia="Arial" w:hAnsi="Arial"/>
                <w:sz w:val="18"/>
                <w:szCs w:val="18"/>
                <w:color w:val="auto"/>
              </w:rPr>
              <w:t>2022 and thereafter</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i w:val="1"/>
                <w:iCs w:val="1"/>
                <w:color w:val="auto"/>
              </w:rPr>
              <w:t>Goodwill</w:t>
            </w: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June 30, 2020, we concluded that the Company’s fair value exceeded its carrying value therefore “it is not more likely than not” that the Goodwill was impaired.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3, on July 13, 2020, the Company announced that it has received a recommendation from the DMC to consider stopping the global Phase III OPTIMA Study of ThermoDox® in combination with RFA for the treatment of hepatocellular carcinoma (HCC), or primary liver cancer. This event will be incorporated in the Company’s assessment of the carrying value of goodwill and intangible assets as of the date the information was available, which is the third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the net fair value of the assets acquired in the EGEN asset acquisition for the three-month period ended June 30, 2020: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Covenant Not To</w:t>
            </w: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ind w:right="760"/>
              <w:spacing w:after="0"/>
              <w:rPr>
                <w:sz w:val="20"/>
                <w:szCs w:val="20"/>
                <w:color w:val="auto"/>
              </w:rPr>
            </w:pPr>
            <w:r>
              <w:rPr>
                <w:rFonts w:ascii="Arial" w:cs="Arial" w:eastAsia="Arial" w:hAnsi="Arial"/>
                <w:sz w:val="18"/>
                <w:szCs w:val="18"/>
                <w:color w:val="auto"/>
              </w:rPr>
              <w:t>IPR&amp;D</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Goodwill</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Compete</w:t>
            </w:r>
          </w:p>
        </w:tc>
        <w:tc>
          <w:tcPr>
            <w:tcW w:w="0" w:type="dxa"/>
            <w:vAlign w:val="bottom"/>
          </w:tcPr>
          <w:p>
            <w:pPr>
              <w:spacing w:after="0"/>
              <w:rPr>
                <w:sz w:val="1"/>
                <w:szCs w:val="1"/>
                <w:color w:val="auto"/>
              </w:rPr>
            </w:pPr>
          </w:p>
        </w:tc>
      </w:tr>
      <w:tr>
        <w:trPr>
          <w:trHeight w:val="216"/>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 the six-months ended June 30, 2020</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Balance at January 1, 2020, net</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15,736,491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rPr>
              <w:t>1,976,101</w:t>
            </w:r>
          </w:p>
        </w:tc>
        <w:tc>
          <w:tcPr>
            <w:tcW w:w="3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340,976</w:t>
            </w:r>
          </w:p>
        </w:tc>
        <w:tc>
          <w:tcPr>
            <w:tcW w:w="0" w:type="dxa"/>
            <w:vAlign w:val="bottom"/>
          </w:tcPr>
          <w:p>
            <w:pPr>
              <w:spacing w:after="0"/>
              <w:rPr>
                <w:sz w:val="1"/>
                <w:szCs w:val="1"/>
                <w:color w:val="auto"/>
              </w:rPr>
            </w:pPr>
          </w:p>
        </w:tc>
      </w:tr>
      <w:tr>
        <w:trPr>
          <w:trHeight w:val="24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(113,658)</w:t>
            </w:r>
          </w:p>
        </w:tc>
        <w:tc>
          <w:tcPr>
            <w:tcW w:w="0" w:type="dxa"/>
            <w:vAlign w:val="bottom"/>
          </w:tcPr>
          <w:p>
            <w:pPr>
              <w:spacing w:after="0"/>
              <w:rPr>
                <w:sz w:val="1"/>
                <w:szCs w:val="1"/>
                <w:color w:val="auto"/>
              </w:rPr>
            </w:pPr>
          </w:p>
        </w:tc>
      </w:tr>
      <w:tr>
        <w:trPr>
          <w:trHeight w:val="217"/>
        </w:trPr>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2020, net</w:t>
            </w: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15,736,491</w:t>
            </w: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1,976,101</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227,318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Note 9. Other Accrued Liabilities</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tcPr>
          <w:p>
            <w:pPr>
              <w:spacing w:after="0"/>
              <w:rPr>
                <w:sz w:val="20"/>
                <w:szCs w:val="20"/>
                <w:color w:val="auto"/>
              </w:rPr>
            </w:pPr>
            <w:r>
              <w:rPr>
                <w:rFonts w:ascii="Arial" w:cs="Arial" w:eastAsia="Arial" w:hAnsi="Arial"/>
                <w:sz w:val="18"/>
                <w:szCs w:val="18"/>
                <w:color w:val="auto"/>
                <w:w w:val="91"/>
              </w:rPr>
              <w:t>Other accrued liabilities at June 30, 2020 and December 31, 2019 include the following:</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June 30, 2020</w:t>
            </w:r>
          </w:p>
        </w:tc>
        <w:tc>
          <w:tcPr>
            <w:tcW w:w="40" w:type="dxa"/>
            <w:vAlign w:val="bottom"/>
          </w:tcPr>
          <w:p>
            <w:pPr>
              <w:spacing w:after="0"/>
              <w:rPr>
                <w:sz w:val="24"/>
                <w:szCs w:val="2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6"/>
              </w:rPr>
              <w:t>Amounts due to contract research organizations and other contractual agreements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284,000</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475,440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1,054,272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1,604,541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150,000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204,155</w:t>
            </w:r>
          </w:p>
        </w:tc>
        <w:tc>
          <w:tcPr>
            <w:tcW w:w="0" w:type="dxa"/>
            <w:vAlign w:val="bottom"/>
          </w:tcPr>
          <w:p>
            <w:pPr>
              <w:spacing w:after="0"/>
              <w:rPr>
                <w:sz w:val="1"/>
                <w:szCs w:val="1"/>
                <w:color w:val="auto"/>
              </w:rPr>
            </w:pPr>
          </w:p>
        </w:tc>
      </w:tr>
      <w:tr>
        <w:trPr>
          <w:trHeight w:val="236"/>
        </w:trPr>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19,411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3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1,507,683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54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38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Notes and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27, 2018, the Company entered the Horizon Credit Agreement. The Company drew down $10 million upon closing of the Horizon Credit Agreement on June 27,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June 30, 2020, the Company incurred $243,299 in interest expense and amortized $96,727 as interest expense for debt discounts and end of term charges in connection with the Horizon Credit Agreement. During the three-month period ended June 30, 2019, the Company incurred $255,182 in interest expense and amortized $94,266 as interest expense for debt discounts and end of term charges in connection with the Horizon Credit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six-month period ended June 30, 2020, the Company incurred $486,597 in interest expense and amortized $192,793 as interest expense for debt discounts and end of term charges in connection with the Horizon Credit Agreement. During the six-month period ended June 30, 2019, the Company incurred $508,471 in interest expense and amortized $191,724 as interest expense for debt discounts and end of term charges in connection with the Horizon Credit Agreement.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principal payments, net of unamortized debt discounts and amortized end of term charges, due on the Horizon Credit Agreement:</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8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As of June 30,</w:t>
            </w:r>
          </w:p>
        </w:tc>
      </w:tr>
      <w:tr>
        <w:trPr>
          <w:trHeight w:val="216"/>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4,583,336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416,664</w:t>
            </w:r>
          </w:p>
        </w:tc>
      </w:tr>
      <w:tr>
        <w:trPr>
          <w:trHeight w:val="237"/>
        </w:trPr>
        <w:tc>
          <w:tcPr>
            <w:tcW w:w="8280" w:type="dxa"/>
            <w:vAlign w:val="bottom"/>
          </w:tcPr>
          <w:p>
            <w:pPr>
              <w:spacing w:after="0"/>
              <w:rPr>
                <w:sz w:val="20"/>
                <w:szCs w:val="20"/>
                <w:color w:val="auto"/>
              </w:rPr>
            </w:pPr>
            <w:r>
              <w:rPr>
                <w:rFonts w:ascii="Arial" w:cs="Arial" w:eastAsia="Arial" w:hAnsi="Arial"/>
                <w:sz w:val="18"/>
                <w:szCs w:val="18"/>
                <w:color w:val="auto"/>
              </w:rPr>
              <w:t>2024 and thereafter</w:t>
            </w:r>
          </w:p>
        </w:tc>
        <w:tc>
          <w:tcPr>
            <w:tcW w:w="20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of future principal payments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280" w:type="dxa"/>
            <w:vAlign w:val="bottom"/>
          </w:tcPr>
          <w:p>
            <w:pPr>
              <w:spacing w:after="0"/>
              <w:rPr>
                <w:sz w:val="20"/>
                <w:szCs w:val="20"/>
                <w:color w:val="auto"/>
              </w:rPr>
            </w:pPr>
            <w:r>
              <w:rPr>
                <w:rFonts w:ascii="Arial" w:cs="Arial" w:eastAsia="Arial" w:hAnsi="Arial"/>
                <w:sz w:val="18"/>
                <w:szCs w:val="18"/>
                <w:color w:val="auto"/>
              </w:rPr>
              <w:t>Unamortized debt issuance costs, net</w:t>
            </w:r>
          </w:p>
        </w:tc>
        <w:tc>
          <w:tcPr>
            <w:tcW w:w="20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(3,530)</w:t>
            </w:r>
          </w:p>
        </w:tc>
      </w:tr>
      <w:tr>
        <w:trPr>
          <w:trHeight w:val="230"/>
        </w:trPr>
        <w:tc>
          <w:tcPr>
            <w:tcW w:w="8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2020, we entered into a loan agreement with Silicon Valley Bank (the “April PPP Loan”), pursuant to the Paycheck Protection Program (the “PPP”), established pursuant to the recently enacted Coronavirus Aid, Relief, and Economic Security Act (the “CARES Act”) and administered by the U.S. Small Business Administration (“SBA”). We thereafter received proceeds of $632,220 under the April PPP Loan. The April PPP Loan application required Celsion to certify that there was economic uncertainty surrounding the Company and that, as such, the April PPP Loan was necessary to support our ongoing operations. Celsion made this certification in good faith after analyzing, among other things, its financial situation and access to alternative forms of capital, and believed that the Company satisfied all eligibility criteria for the April PPP Loan, and that our receipt of the April PPP Loan proceeds was consistent with the broad objectives of the PPP of the CARES Act. The certification given with respect to the April PPP Loan did not contain any objective criteria and was subject to interpretation. Considering subsequent guidance issued by the SBA in consultation with the U.S. Department of the Treasury at that time, out of an abundance of caution we returned the proceeds of the PPP Loan in full on May 13, 2020.</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Shortly after the April PPP Loan was repaid, the SBA provided further guidance with respect to these certifications providing a safe harbor under which companies such as Celsion with PPP loans of less than $2 million will be deemed to have made these certifications in good faith. Therefore, as the Company continued to believe it qualifies for a loan under the PPP, it reapplied for and eventually received the new PPP Loan for $692,530 on May 26, 2020 (the “May PPP Loan”). The May PPP Loan was guaranteed by the SBA and evidenced by a promissory note of the Company dated May 26, 2020 (the “Note”) in the principal amount of $692,530 payable to the lender. Pursuant to the terms of the Note, was payable in part or in full, at any time, without penalty. On June 22, 2020, as disclosed in the Company’s Current Report on Form 8-K filed on the same date, the Company commenced an offering of 2,666,667 shares of its common stock which closed on June 24, 2020 (Note 11) and received net proceeds of approximately $9.1 million. In light of the proceeds received from this equity offering, the Company elected to repay the May PPP Loan in full (including interest accrued of $577) on June 24, 2020, terminating all obligations of the Company under the Note.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2018, the Company filed with the SEC a new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Purchase Agreements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31, 2018, the Company entered into a common stock purchase agreement (the “2018 Aspire Purchase Agreement”) with Aspire Capital Fund, LLC (“Aspire Capital”) which provides that, upon the terms and subject to the conditions and limitations set forth therein, Aspire Capital was committed to purchase up to an aggregate of $15.0 million of shares of the Company’s common stock over the 24-month term of the 2019 Aspire Purchase Agreement. During 2018, the Company sold and issued an aggregate of 0.1 million shares under the 2018 Aspire Purchase Agreement, receiving approximately $0.2 million. During 2019, the Company sold and issued an aggregate of 3.3 million shares under the 2018 Aspire Purchase Agreement, receiving approximately $6.3 million. As a result of the Company and Aspire entering into a new purchase agreement on October 28, 2019 (the “2019 Aspire Purchase Agreement”) discussed in the next paragraph, the 2018 Aspire Purchase Agreement was terminated.</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2019 Aspire Purchase Agreement provided that, upon the terms and subject to the conditions and limitations set forth therein, Aspire Capital was committed to purchase up to an aggregate of $10.0 million of shares of the Company’s common stock over the 24-month term of the 2019 Aspire Purchase Agreement. During 2019, the Company sold and issued an aggregate of 0.5 million shares under the 2019 Aspire Purchase Agreement, receiving approximately $0.7 million. During the first quarter of 2020 through March 5, 2020 when the Company delivered notice to Aspire terminating the 2019 Aspire Purchase Agreement, the Company sold 1.0 million shares of common stock under the Aspire Purchase Agreement, receiving approximately $1.6 million in additional gross proceeds.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29"/>
          <w:szCs w:val="29"/>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Shares will be issued pursuant to Celsion’s previously filed and effective Registration Statement on Form S-3 (File No. 333-227236), the base prospectus dated October 12, 2018, filed as part of such Registration Statement, and the prospectus supplement dated December 4, 2018, filed by Celsion with the Securities and Exchange Commission. During 2019, the Company sold and issued an aggregate of 0.5 million shares under the Capital on Demand Agreement, receiving approximately $1.0 million in gross proceeds. During 2020 through June 30, 2020, the Company sold and issued an aggregate of 1.2 million shares under the Capital on Demand Agreement, receiving approximately $3.5 million in gross proceeds. The Company has not sold any shares under the Capital on Demand Agreement subsequent to June 30, 2020 through the date of this Quarterly Report on Form 10Q. As of June 30, 2020, the Company has approximately $11.5 million available under the Capital on Demand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Direct Offering</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February 27, 2020, we entered into a Securities Purchase Agreement (the “Purchase Agreement”) with several institutional investors, pursuant to which we agreed to issue and sell, in a registered direct offering (the “February 2020 Offering”), an aggregate of 4,571,428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contains customary representations, warranties and agreements by the Company and customary conditions to closing. In a concurrent private placement (the “Private Placement”), the Company agreed to issue to the investors that participated in the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 The Underwritten Offering closed on June 24, 2020 and was made pursuant to the Company’s effective shelf registration statement on Form S-3 (File No. 333-227236) filed with the Securities and Exchange Commission on September 7, 2018, and declared effective on October 12, 2018, including the base prospectus dated October 12, 2018 included therein and the related prospectus supplement.</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Underwriting Agreement contains customary representations, warranties and agreements by the Company, customary conditions to closing, indemnification obligations of the Company and the Underwriter including for liabilities under the Securities Act, other obligations of the parties, and termination provisions. Pursuant to the Underwriting Agreement, until December 31, 2020, the Underwriter shall have a right of first refusal to act as sole underwriter, initial purchaser, placement/selling agent, or arranger, as the case may be, on any new financing for the Company (excluding equipment lease financings, loans or grants from governmental authorities or in connection with government programs and financings relating to or sales of tax attributes) during such period. The Underwriter shall have the sole right to determine whether or not any other broker dealer shall have the right to participate in any such offering and the economic terms of any such participation. Pursuant to the Underwriting Agreement, subject to certain exceptions, the Company and certain of the Company’s executive officers and directors have agreed that, without the prior written consent of the Underwriter and subject to certain negotiated exceptions, they will not, for a period of 60 days, in either case, following the date of the final prospectus supplement, sell or otherwise dispose of any of the Company’s securities held by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2018 Annual Stockholders Meeting of the Company held on May 15, 2018, the Company’s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shares of common stock available by 1,200,000 to a total of 3,900,000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2,500,000 to a total of 6,400,000 under the 2018 Plan, as amended.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adoption of the 2018 Plan, the Company had maintained the Celsion Corporation 2007 Stock Incentive Plan (the “2007 Plan”). 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19, 2019, the Compensation Committee of the Board of Directors approved the grant of (i) inducement stock options (the “Inducement Option Grants”) to purchase a total of 140,004 shares of Celsion common stock, and (ii) inducement restricted stock awards (the “Inducement Stock Grants”) totalling 13,000 shares of Celsion common stock to two new employees collectively. Each award has a grant date of the date of grant. Each Inducement Option Grant has an exercise price per share equal to $2.18 which represents the closing price of Celsion’s common stock as reported by the Nasdaq Capital Market on the date of grant.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Inducement Stock Grant will vest on the one-year anniversary of the employee’s first day of employment with the Company and is subject to the new employee’s continued service relationship with the Company through such date and is subject to the terms and conditions of the applicable restricted stock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awards and restricted stock grants for the six-months ended June 30, 2020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55"/>
        </w:trPr>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20" w:type="dxa"/>
            <w:vAlign w:val="bottom"/>
            <w:gridSpan w:val="6"/>
          </w:tcPr>
          <w:p>
            <w:pPr>
              <w:ind w:left="58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Restricted Stock Awards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198"/>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7"/>
                <w:szCs w:val="17"/>
                <w:color w:val="auto"/>
              </w:rPr>
            </w:pPr>
          </w:p>
        </w:tc>
        <w:tc>
          <w:tcPr>
            <w:tcW w:w="12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Contractual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Terms of</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Grant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Fair Value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4,332,142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429,855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(429,855)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June 30, 2020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4,725,276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awards at June 30, 2020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5,494,924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7,875</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June 30, 2020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3,194,777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at June 30, 2020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3,733,421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there was a total of 6,510,174 shares of Celsion common stock reserved for issuance under the 2018 Plan which were comprised of 4,594,022 shares of Celsion common stock subject to equity awards previously granted under the 2018 Plan and 2007 Plan and 1,916,152 shares of Celsion common stock available for future issuance under the 2018 Plan. As of June 30, 2020, there was a total of 140,004 shares of Celsion common stock subject to outstanding inducement awards.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$578,761 and $622,696 for the three-month periods ended June 30, 2020 and 2019, respectively. Of these amounts, $200,186 and $239,406 was charged to research and development during the three-month periods ended June 30, 2020 and 2019, respectively, and $378,575 and $383,290 was charged to general and administrative expenses during the three-month periods ended June 30, 2020 and 2019,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$1,030,726 and $1,313,842 for the six-month periods ended June 30, 2020 and 2019, respectively. Of these amounts, $378,122 and $479,794 was charged to research and development during the six-month periods ended June 30, 2020 and 2019, respectively, and $652,604 and $834,048 was charged to general and administrative expenses during the six-month periods ended June 30, 2020 and 2019, respectively.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2020, there was $2.4 million of total unrecognized compensation cost related to non-vested stock-based compensation arrangements. That cost is expected to be recognized over a weighted-average period of 1.5 years. The weighted average grant date fair values of the stock options granted was $3.10 and $1.88 during the six-month periods ended June 30, 2020 and 2019, respectively. In connection with the Company’s annual 2019 bonus program, the Company issued 429,855 shares of common stock from the 2018 Stock Incentive Plan in lieu of paying cash for 50% of the annual bonus awards. These amounts were fully accrued for in the consolidated financial statements for the year ended December 31, 2019.</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the Company received gross proceeds of $371,895 from the issuance of 140,864 shares of common stock upon exercise of stock option awards under the 2018 Plan. No options were exercised in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p>
        </w:tc>
        <w:tc>
          <w:tcPr>
            <w:tcW w:w="424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7000" w:type="dxa"/>
            <w:vAlign w:val="bottom"/>
            <w:tcBorders>
              <w:bottom w:val="single" w:sz="8" w:color="CCEEFF"/>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480" w:type="dxa"/>
            <w:vAlign w:val="bottom"/>
            <w:tcBorders>
              <w:top w:val="single" w:sz="8" w:color="auto"/>
              <w:bottom w:val="single" w:sz="8" w:color="CCEEFF"/>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0.71% to 1.33%</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2.42%-2.65%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100.4% to 104.2%</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101.3%-106.2%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 to 10.0</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 to 9.3</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Amended Asset Purchase Agreement entered by and between Company and EGWU, Inc in March 2019, payment of the earnout milestone liability related to the Ovarian Cancer Indication of $12.4 million was modified. The Company has the option to make a $7.0 million payment within 10 business days of achieving the milestone; or make a payment of $12.4 million in cash, common stock of the Company, or a combination of either, within one year of achieving the milestone.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2020, March 31, 2020, and December 31, 2019, the Company fair valued the earn-out milestone liability at $6.0 million, $5.8 million and $5.7 million, respectively and recognized a non-cash charge of $0.2 and $0.3 million for the three-month and six-month periods ended June 30, 2020, respectively. In assessing the earnout milestone liability at June 30, 2020 and March 31, 2020, the Company fair valued each of the two payment options per the Amended Asset Purchase Agreement and weighted them at 80% and 20% probability for the $7.0 million and the $12.4 million payments,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2019, March 31, 2019, and December 31, 2018, the Company fair valued the earn-out milestone liability at $13.1 million, $5.8 million and $8.9 million, respectively and recognized a non-cash charge of $0.1 million and a non-cash benefit of $3.0 million during the three-month and six-month periods ended June 30, 2019, respectively. In assessing the earnout milestone liability at June 30, 2019 and March 31, 2019, the Company fair valued each of the two payment options per the Amended Asset Purchase Agreement and weighted them at 80% and 20% probability for the $7.0 million and the $12.4 million payments,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is a summary of the changes in the earn-out milestone liability for the six-month period ended June 30,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36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(5,717,709)</w:t>
            </w:r>
          </w:p>
        </w:tc>
      </w:tr>
      <w:tr>
        <w:trPr>
          <w:trHeight w:val="236"/>
        </w:trPr>
        <w:tc>
          <w:tcPr>
            <w:tcW w:w="6180" w:type="dxa"/>
            <w:vAlign w:val="bottom"/>
          </w:tcPr>
          <w:p>
            <w:pPr>
              <w:spacing w:after="0"/>
              <w:rPr>
                <w:sz w:val="20"/>
                <w:szCs w:val="20"/>
                <w:color w:val="auto"/>
              </w:rPr>
            </w:pPr>
            <w:r>
              <w:rPr>
                <w:rFonts w:ascii="Arial" w:cs="Arial" w:eastAsia="Arial" w:hAnsi="Arial"/>
                <w:sz w:val="18"/>
                <w:szCs w:val="18"/>
                <w:color w:val="auto"/>
              </w:rPr>
              <w:t>Non-cash loss from the change in fair value</w:t>
            </w:r>
          </w:p>
        </w:tc>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(297,570)</w:t>
            </w:r>
          </w:p>
        </w:tc>
      </w:tr>
      <w:tr>
        <w:trPr>
          <w:trHeight w:val="230"/>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(6,015,279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4"/>
          </w:tcPr>
          <w:p>
            <w:pPr>
              <w:spacing w:after="0"/>
              <w:rPr>
                <w:sz w:val="20"/>
                <w:szCs w:val="20"/>
                <w:color w:val="auto"/>
              </w:rPr>
            </w:pPr>
            <w:r>
              <w:rPr>
                <w:rFonts w:ascii="Arial" w:cs="Arial" w:eastAsia="Arial" w:hAnsi="Arial"/>
                <w:sz w:val="18"/>
                <w:szCs w:val="18"/>
                <w:color w:val="auto"/>
                <w:w w:val="90"/>
              </w:rPr>
              <w:t>The following is a schedule of the Company’s risk-adjustment assessment of each milestone: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Risk-adjustment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Assessment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of Achieving each</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Estimated Time</w:t>
            </w:r>
          </w:p>
        </w:tc>
      </w:tr>
      <w:tr>
        <w:trPr>
          <w:trHeight w:val="237"/>
        </w:trPr>
        <w:tc>
          <w:tcPr>
            <w:tcW w:w="5320" w:type="dxa"/>
            <w:vAlign w:val="bottom"/>
            <w:gridSpan w:val="3"/>
          </w:tcPr>
          <w:p>
            <w:pPr>
              <w:spacing w:after="0"/>
              <w:rPr>
                <w:sz w:val="20"/>
                <w:szCs w:val="20"/>
                <w:color w:val="auto"/>
              </w:rPr>
            </w:pPr>
            <w:r>
              <w:rPr>
                <w:rFonts w:ascii="Arial" w:cs="Arial" w:eastAsia="Arial" w:hAnsi="Arial"/>
                <w:sz w:val="18"/>
                <w:szCs w:val="18"/>
                <w:color w:val="auto"/>
              </w:rPr>
              <w:t>Date</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Milestone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Discount Rate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 Achieve</w:t>
            </w:r>
          </w:p>
        </w:tc>
      </w:tr>
      <w:tr>
        <w:trPr>
          <w:trHeight w:val="216"/>
        </w:trPr>
        <w:tc>
          <w:tcPr>
            <w:tcW w:w="4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2020</w:t>
            </w:r>
          </w:p>
        </w:tc>
        <w:tc>
          <w:tcPr>
            <w:tcW w:w="14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w w:val="94"/>
              </w:rPr>
              <w:t>80%</w:t>
            </w: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0.54 to 1.54 years</w:t>
            </w: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March 31, 2020</w:t>
            </w:r>
          </w:p>
        </w:tc>
        <w:tc>
          <w:tcPr>
            <w:tcW w:w="1400" w:type="dxa"/>
            <w:vAlign w:val="bottom"/>
          </w:tcPr>
          <w:p>
            <w:pPr>
              <w:spacing w:after="0"/>
              <w:rPr>
                <w:sz w:val="18"/>
                <w:szCs w:val="18"/>
                <w:color w:val="auto"/>
              </w:rPr>
            </w:pPr>
          </w:p>
        </w:tc>
        <w:tc>
          <w:tcPr>
            <w:tcW w:w="580" w:type="dxa"/>
            <w:vAlign w:val="bottom"/>
            <w:gridSpan w:val="4"/>
          </w:tcPr>
          <w:p>
            <w:pPr>
              <w:jc w:val="right"/>
              <w:ind w:right="130"/>
              <w:spacing w:after="0"/>
              <w:rPr>
                <w:sz w:val="20"/>
                <w:szCs w:val="20"/>
                <w:color w:val="auto"/>
              </w:rPr>
            </w:pPr>
            <w:r>
              <w:rPr>
                <w:rFonts w:ascii="Arial" w:cs="Arial" w:eastAsia="Arial" w:hAnsi="Arial"/>
                <w:sz w:val="18"/>
                <w:szCs w:val="18"/>
                <w:color w:val="auto"/>
                <w:w w:val="94"/>
              </w:rPr>
              <w:t>80%</w:t>
            </w: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1.04 to 2.04 years</w:t>
            </w: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4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w w:val="94"/>
              </w:rPr>
              <w:t>80%</w:t>
            </w: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1.12 to 2.12 years</w:t>
            </w: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2019</w:t>
            </w:r>
          </w:p>
        </w:tc>
        <w:tc>
          <w:tcPr>
            <w:tcW w:w="14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w w:val="94"/>
              </w:rPr>
              <w:t>80%</w:t>
            </w: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0.75 to 1.75 years</w:t>
            </w: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March 31, 2019</w:t>
            </w:r>
          </w:p>
        </w:tc>
        <w:tc>
          <w:tcPr>
            <w:tcW w:w="1400" w:type="dxa"/>
            <w:vAlign w:val="bottom"/>
          </w:tcPr>
          <w:p>
            <w:pPr>
              <w:spacing w:after="0"/>
              <w:rPr>
                <w:sz w:val="18"/>
                <w:szCs w:val="18"/>
                <w:color w:val="auto"/>
              </w:rPr>
            </w:pPr>
          </w:p>
        </w:tc>
        <w:tc>
          <w:tcPr>
            <w:tcW w:w="580" w:type="dxa"/>
            <w:vAlign w:val="bottom"/>
            <w:gridSpan w:val="4"/>
          </w:tcPr>
          <w:p>
            <w:pPr>
              <w:jc w:val="right"/>
              <w:ind w:right="130"/>
              <w:spacing w:after="0"/>
              <w:rPr>
                <w:sz w:val="20"/>
                <w:szCs w:val="20"/>
                <w:color w:val="auto"/>
              </w:rPr>
            </w:pPr>
            <w:r>
              <w:rPr>
                <w:rFonts w:ascii="Arial" w:cs="Arial" w:eastAsia="Arial" w:hAnsi="Arial"/>
                <w:sz w:val="18"/>
                <w:szCs w:val="18"/>
                <w:color w:val="auto"/>
                <w:w w:val="94"/>
              </w:rPr>
              <w:t>80%</w:t>
            </w: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1.00 to 2.00 years</w:t>
            </w: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4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w w:val="94"/>
              </w:rPr>
              <w:t>80%</w:t>
            </w: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1.25 years</w:t>
            </w:r>
          </w:p>
        </w:tc>
      </w:tr>
      <w:tr>
        <w:trPr>
          <w:trHeight w:val="432"/>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Note 14. Warrants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Common Stock Warrants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20" w:type="dxa"/>
            <w:vAlign w:val="bottom"/>
            <w:gridSpan w:val="4"/>
          </w:tcPr>
          <w:p>
            <w:pPr>
              <w:spacing w:after="0"/>
              <w:rPr>
                <w:sz w:val="20"/>
                <w:szCs w:val="20"/>
                <w:color w:val="auto"/>
              </w:rPr>
            </w:pPr>
            <w:r>
              <w:rPr>
                <w:rFonts w:ascii="Arial" w:cs="Arial" w:eastAsia="Arial" w:hAnsi="Arial"/>
                <w:sz w:val="18"/>
                <w:szCs w:val="18"/>
                <w:color w:val="auto"/>
                <w:w w:val="98"/>
              </w:rPr>
              <w:t>Following is a summary of all warrant activity for the six months ended June 30, 2020: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Number of Warrants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Warrants</w:t>
            </w: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Issued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r>
      <w:tr>
        <w:trPr>
          <w:trHeight w:val="216"/>
        </w:trPr>
        <w:tc>
          <w:tcPr>
            <w:tcW w:w="4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outstanding at December 31, 2019</w:t>
            </w:r>
          </w:p>
        </w:tc>
        <w:tc>
          <w:tcPr>
            <w:tcW w:w="1400" w:type="dxa"/>
            <w:vAlign w:val="bottom"/>
            <w:shd w:val="clear" w:color="auto" w:fill="CCEEFF"/>
          </w:tcPr>
          <w:p>
            <w:pPr>
              <w:spacing w:after="0"/>
              <w:rPr>
                <w:sz w:val="18"/>
                <w:szCs w:val="18"/>
                <w:color w:val="auto"/>
              </w:rPr>
            </w:pPr>
          </w:p>
        </w:tc>
        <w:tc>
          <w:tcPr>
            <w:tcW w:w="22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626,098</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37"/>
        </w:trPr>
        <w:tc>
          <w:tcPr>
            <w:tcW w:w="5320" w:type="dxa"/>
            <w:vAlign w:val="bottom"/>
            <w:gridSpan w:val="3"/>
          </w:tcPr>
          <w:p>
            <w:pPr>
              <w:spacing w:after="0"/>
              <w:rPr>
                <w:sz w:val="20"/>
                <w:szCs w:val="20"/>
                <w:color w:val="auto"/>
              </w:rPr>
            </w:pPr>
            <w:r>
              <w:rPr>
                <w:rFonts w:ascii="Arial" w:cs="Arial" w:eastAsia="Arial" w:hAnsi="Arial"/>
                <w:sz w:val="18"/>
                <w:szCs w:val="18"/>
                <w:color w:val="auto"/>
                <w:w w:val="89"/>
              </w:rPr>
              <w:t>Warrants issued during the six months ended June 30, 2020 (see Note 11)</w:t>
            </w:r>
          </w:p>
        </w:tc>
        <w:tc>
          <w:tcPr>
            <w:tcW w:w="1400" w:type="dxa"/>
            <w:vAlign w:val="bottom"/>
          </w:tcPr>
          <w:p>
            <w:pPr>
              <w:spacing w:after="0"/>
              <w:rPr>
                <w:sz w:val="20"/>
                <w:szCs w:val="20"/>
                <w:color w:val="auto"/>
              </w:rPr>
            </w:pPr>
          </w:p>
        </w:tc>
        <w:tc>
          <w:tcPr>
            <w:tcW w:w="2220" w:type="dxa"/>
            <w:vAlign w:val="bottom"/>
            <w:gridSpan w:val="6"/>
          </w:tcPr>
          <w:p>
            <w:pPr>
              <w:jc w:val="right"/>
              <w:ind w:right="40"/>
              <w:spacing w:after="0"/>
              <w:rPr>
                <w:sz w:val="20"/>
                <w:szCs w:val="20"/>
                <w:color w:val="auto"/>
              </w:rPr>
            </w:pPr>
            <w:r>
              <w:rPr>
                <w:rFonts w:ascii="Arial" w:cs="Arial" w:eastAsia="Arial" w:hAnsi="Arial"/>
                <w:sz w:val="18"/>
                <w:szCs w:val="18"/>
                <w:color w:val="auto"/>
              </w:rPr>
              <w:t>3,200,000</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4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320" w:type="dxa"/>
            <w:vAlign w:val="bottom"/>
            <w:gridSpan w:val="3"/>
          </w:tcPr>
          <w:p>
            <w:pPr>
              <w:spacing w:after="0"/>
              <w:rPr>
                <w:sz w:val="20"/>
                <w:szCs w:val="20"/>
                <w:color w:val="auto"/>
              </w:rPr>
            </w:pPr>
            <w:r>
              <w:rPr>
                <w:rFonts w:ascii="Arial" w:cs="Arial" w:eastAsia="Arial" w:hAnsi="Arial"/>
                <w:sz w:val="18"/>
                <w:szCs w:val="18"/>
                <w:color w:val="auto"/>
              </w:rPr>
              <w:t>Warrants outstanding at June 30, 2020</w:t>
            </w:r>
          </w:p>
        </w:tc>
        <w:tc>
          <w:tcPr>
            <w:tcW w:w="1400" w:type="dxa"/>
            <w:vAlign w:val="bottom"/>
          </w:tcPr>
          <w:p>
            <w:pPr>
              <w:spacing w:after="0"/>
              <w:rPr>
                <w:sz w:val="24"/>
                <w:szCs w:val="24"/>
                <w:color w:val="auto"/>
              </w:rPr>
            </w:pPr>
          </w:p>
        </w:tc>
        <w:tc>
          <w:tcPr>
            <w:tcW w:w="2220" w:type="dxa"/>
            <w:vAlign w:val="bottom"/>
            <w:gridSpan w:val="6"/>
          </w:tcPr>
          <w:p>
            <w:pPr>
              <w:jc w:val="right"/>
              <w:ind w:right="40"/>
              <w:spacing w:after="0"/>
              <w:rPr>
                <w:sz w:val="20"/>
                <w:szCs w:val="20"/>
                <w:color w:val="auto"/>
              </w:rPr>
            </w:pPr>
            <w:r>
              <w:rPr>
                <w:rFonts w:ascii="Arial" w:cs="Arial" w:eastAsia="Arial" w:hAnsi="Arial"/>
                <w:sz w:val="18"/>
                <w:szCs w:val="18"/>
                <w:color w:val="auto"/>
              </w:rPr>
              <w:t>3,826,098</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197"/>
        </w:trPr>
        <w:tc>
          <w:tcPr>
            <w:tcW w:w="4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rPr>
          <w:sz w:val="20"/>
          <w:szCs w:val="20"/>
          <w:color w:val="auto"/>
        </w:rPr>
      </w:pPr>
      <w:r>
        <w:rPr>
          <w:rFonts w:ascii="Arial" w:cs="Arial" w:eastAsia="Arial" w:hAnsi="Arial"/>
          <w:sz w:val="18"/>
          <w:szCs w:val="18"/>
          <w:color w:val="auto"/>
        </w:rPr>
        <w:t>Aggregate intrinsic value of outstanding warrants at June 30, 2020</w:t>
      </w:r>
    </w:p>
    <w:p>
      <w:pPr>
        <w:spacing w:after="0" w:line="27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Schedule of weighted average exercise price and remaining contractual terms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42862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93" w:hanging="1193"/>
        <w:spacing w:after="0"/>
        <w:tabs>
          <w:tab w:leader="none" w:pos="1193" w:val="left"/>
        </w:tabs>
        <w:numPr>
          <w:ilvl w:val="0"/>
          <w:numId w:val="4"/>
        </w:numPr>
        <w:rPr>
          <w:rFonts w:ascii="Arial" w:cs="Arial" w:eastAsia="Arial" w:hAnsi="Arial"/>
          <w:sz w:val="18"/>
          <w:szCs w:val="18"/>
          <w:color w:val="auto"/>
        </w:rPr>
      </w:pPr>
      <w:r>
        <w:rPr>
          <w:rFonts w:ascii="Arial" w:cs="Arial" w:eastAsia="Arial" w:hAnsi="Arial"/>
          <w:sz w:val="18"/>
          <w:szCs w:val="18"/>
          <w:color w:val="auto"/>
        </w:rPr>
        <w:t>9,096,322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172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2172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42" w:lineRule="exact"/>
        <w:rPr>
          <w:sz w:val="20"/>
          <w:szCs w:val="20"/>
          <w:color w:val="auto"/>
        </w:rPr>
      </w:pPr>
    </w:p>
    <w:p>
      <w:pPr>
        <w:ind w:left="133"/>
        <w:spacing w:after="0"/>
        <w:rPr>
          <w:sz w:val="20"/>
          <w:szCs w:val="20"/>
          <w:color w:val="auto"/>
        </w:rPr>
      </w:pPr>
      <w:r>
        <w:rPr>
          <w:rFonts w:ascii="Arial" w:cs="Arial" w:eastAsia="Arial" w:hAnsi="Arial"/>
          <w:sz w:val="18"/>
          <w:szCs w:val="18"/>
          <w:b w:val="1"/>
          <w:bCs w:val="1"/>
          <w:color w:val="auto"/>
        </w:rPr>
        <w:t>Warrants provided to</w:t>
      </w:r>
    </w:p>
    <w:p>
      <w:pPr>
        <w:spacing w:after="0" w:line="27" w:lineRule="exact"/>
        <w:rPr>
          <w:sz w:val="20"/>
          <w:szCs w:val="20"/>
          <w:color w:val="auto"/>
        </w:rPr>
      </w:pPr>
    </w:p>
    <w:p>
      <w:pPr>
        <w:ind w:left="113"/>
        <w:spacing w:after="0"/>
        <w:tabs>
          <w:tab w:leader="none" w:pos="2452" w:val="left"/>
        </w:tabs>
        <w:rPr>
          <w:sz w:val="20"/>
          <w:szCs w:val="20"/>
          <w:color w:val="auto"/>
        </w:rPr>
      </w:pPr>
      <w:r>
        <w:rPr>
          <w:rFonts w:ascii="Arial" w:cs="Arial" w:eastAsia="Arial" w:hAnsi="Arial"/>
          <w:sz w:val="18"/>
          <w:szCs w:val="18"/>
          <w:b w:val="1"/>
          <w:bCs w:val="1"/>
          <w:color w:val="auto"/>
        </w:rPr>
        <w:t>EGWU, Inc. (Note 13)</w:t>
      </w:r>
      <w:r>
        <w:rPr>
          <w:sz w:val="20"/>
          <w:szCs w:val="20"/>
          <w:color w:val="auto"/>
        </w:rPr>
        <w:tab/>
      </w:r>
      <w:r>
        <w:rPr>
          <w:rFonts w:ascii="Arial" w:cs="Arial" w:eastAsia="Arial" w:hAnsi="Arial"/>
          <w:sz w:val="16"/>
          <w:szCs w:val="16"/>
          <w:b w:val="1"/>
          <w:bCs w:val="1"/>
          <w:color w:val="auto"/>
        </w:rPr>
        <w:t>All other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6314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6540" w:space="447"/>
            <w:col w:w="4253"/>
          </w:cols>
          <w:pgMar w:left="320" w:top="692"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Number of warrants issued</w:t>
            </w:r>
          </w:p>
        </w:tc>
        <w:tc>
          <w:tcPr>
            <w:tcW w:w="2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200,000</w:t>
            </w: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3,626,098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Weighted average exercise prise</w:t>
            </w:r>
          </w:p>
        </w:tc>
        <w:tc>
          <w:tcPr>
            <w:tcW w:w="2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contractual terms remaining</w:t>
            </w:r>
          </w:p>
        </w:tc>
        <w:tc>
          <w:tcPr>
            <w:tcW w:w="2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No expiration</w:t>
            </w: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 years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lease, as amended, for its 10,870 square foot premises located in Lawrenceville, New Jersey which is currently set to expire September 1, 2023. Also, the Company maintains a lease for an 11,500 square foot premises located in Huntsville Alabama, which is currently set to expire in January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4" w:name="page25"/>
    <w:bookmarkEnd w:id="24"/>
    <w:p>
      <w:pPr>
        <w:jc w:val="both"/>
        <w:spacing w:after="0" w:line="283" w:lineRule="auto"/>
        <w:rPr>
          <w:sz w:val="20"/>
          <w:szCs w:val="20"/>
          <w:color w:val="auto"/>
        </w:rPr>
      </w:pPr>
      <w:r>
        <w:rPr>
          <w:rFonts w:ascii="Arial" w:cs="Arial" w:eastAsia="Arial" w:hAnsi="Arial"/>
          <w:sz w:val="16"/>
          <w:szCs w:val="16"/>
          <w:color w:val="auto"/>
        </w:rPr>
        <w:t>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Condensed Consolidated Balance Sheet but had no impact on our condensed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terminated. In connection with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8"/>
              </w:rPr>
              <w:t>Following is a table of the lease payments and maturity of our operating lease liabilities as of June 30, 2020:</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8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year ending</w:t>
            </w:r>
          </w:p>
        </w:tc>
      </w:tr>
      <w:tr>
        <w:trPr>
          <w:trHeight w:val="241"/>
        </w:trPr>
        <w:tc>
          <w:tcPr>
            <w:tcW w:w="8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530,734</w:t>
            </w:r>
          </w:p>
        </w:tc>
        <w:tc>
          <w:tcPr>
            <w:tcW w:w="14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535,579</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2023</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233,116</w:t>
            </w:r>
          </w:p>
        </w:tc>
        <w:tc>
          <w:tcPr>
            <w:tcW w:w="140" w:type="dxa"/>
            <w:vAlign w:val="bottom"/>
          </w:tcPr>
          <w:p>
            <w:pPr>
              <w:spacing w:after="0"/>
              <w:rPr>
                <w:sz w:val="18"/>
                <w:szCs w:val="18"/>
                <w:color w:val="auto"/>
              </w:rPr>
            </w:pP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r>
      <w:tr>
        <w:trPr>
          <w:trHeight w:val="203"/>
        </w:trPr>
        <w:tc>
          <w:tcPr>
            <w:tcW w:w="8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7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1,563,155</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(219,931)</w:t>
            </w: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7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1,343,224</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8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3.2 years</w:t>
            </w:r>
          </w:p>
        </w:tc>
      </w:tr>
      <w:tr>
        <w:trPr>
          <w:trHeight w:val="216"/>
        </w:trPr>
        <w:tc>
          <w:tcPr>
            <w:tcW w:w="8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8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three-month and six-month periods ending June 30, 2020, operating lease expense was $130,595 and $261,190, respectively and cash paid for operating leases included in operating cash flows was $131,452 and $262,084, respectively. For the three-month and six-month periods ending June 30, 2019, operating lease expense was $130,595 and $261,190, respectively and cash paid for operating leases included in operating cash flows was $118,415 and 224,585,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the 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initially be limited to a percentage of the production requirements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with Hisun retaining an option for additional global supply after local regulatory approval in the China territory. In addition, Hisun will collaborate with Celsion around the regulatory approval</w:t>
      </w:r>
    </w:p>
    <w:p>
      <w:pPr>
        <w:jc w:val="both"/>
        <w:spacing w:after="0" w:line="228" w:lineRule="auto"/>
        <w:rPr>
          <w:sz w:val="20"/>
          <w:szCs w:val="20"/>
          <w:color w:val="auto"/>
        </w:rPr>
      </w:pPr>
      <w:r>
        <w:rPr>
          <w:rFonts w:ascii="Arial" w:cs="Arial" w:eastAsia="Arial" w:hAnsi="Arial"/>
          <w:sz w:val="18"/>
          <w:szCs w:val="18"/>
          <w:color w:val="auto"/>
        </w:rPr>
        <w:t>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the China State Food and Drug Administration (CHINA FDA). During the first quarter of 2015, Hisun completed the successful manufacture of three registration batches of ThermoDox</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9"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On July 19, 2013, the Company and Hisun entered into a Memorandum of Understanding to pursue ongoing cooperation for the continued clinical development of ThermoDox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the technology transfer relating to the commercial manufacture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3" w:lineRule="exact"/>
        <w:rPr>
          <w:rFonts w:ascii="Arial" w:cs="Arial" w:eastAsia="Arial" w:hAnsi="Arial"/>
          <w:sz w:val="18"/>
          <w:szCs w:val="18"/>
          <w:b w:val="1"/>
          <w:bCs w:val="1"/>
          <w:color w:val="auto"/>
        </w:rPr>
      </w:pPr>
    </w:p>
    <w:p>
      <w:pPr>
        <w:ind w:left="660" w:hanging="652"/>
        <w:spacing w:after="0" w:line="186" w:lineRule="auto"/>
        <w:tabs>
          <w:tab w:leader="none" w:pos="66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coordinate with the Company around the clinical and regulatory approval 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other liposomal formations with the CHINA FDA; and</w:t>
      </w:r>
    </w:p>
    <w:p>
      <w:pPr>
        <w:spacing w:after="0" w:line="207" w:lineRule="exact"/>
        <w:rPr>
          <w:rFonts w:ascii="Arial" w:cs="Arial" w:eastAsia="Arial" w:hAnsi="Arial"/>
          <w:sz w:val="36"/>
          <w:szCs w:val="36"/>
          <w:b w:val="1"/>
          <w:bCs w:val="1"/>
          <w:color w:val="auto"/>
          <w:vertAlign w:val="superscript"/>
        </w:rPr>
      </w:pPr>
    </w:p>
    <w:p>
      <w:pPr>
        <w:ind w:left="660" w:hanging="652"/>
        <w:spacing w:after="0" w:line="186" w:lineRule="auto"/>
        <w:tabs>
          <w:tab w:leader="none" w:pos="66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be granted a right of first offer for a commercial license to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sale and distribution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China territory.</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IL- 12 immunotherapy, for the greater China territory, with the option to expand into other countries in the rest of the world after all necessary regulatory approvals are in effect. The GEN- 1 Agreement will help to support supply for both ongoing and planned clinical studies in the U.S., and for potential future studies of GEN- 1 in China. GEN- 1 is currently being evaluated by Celsion in first line ovarian cancer patients.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CHINA FDA for site approval; and</w:t>
      </w:r>
    </w:p>
    <w:p>
      <w:pPr>
        <w:spacing w:after="0" w:line="170"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20, 2019, a purported stockholder of the Company filed a derivative and putative class action lawsuit against the Company and certain officers and directors (the “Shareholder Action”). The Company is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O’Connor v. Braun et al., Docket No. MER-C-000068-19 (the “Shareholder Action”). The Shareholder Action alleges breaches of the defendants’ fiduciary duties based on allegations that the defendants omitted or made improper statements when seeking shareholder approval of the 2018 Stock Incentive Plan. The Shareholder Action seeks,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have concluded that it is desirable that the claims be settled on the terms and subject to the conditions set forth in the Settlement Agreement. The Company and the Individual Defendants are entering into the Settlement Agreement for settlement purposes only and solely to avoid the cost and disruption of further litigation.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to determine whether the Court should issue a final order approving the proposed Settlement has been scheduled for September 8, 2020. On August 3, 2020, the Company filed notice of the Settlement Agreement on Form 8-K as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July 13, 2020, the Company announced that it has received a recommendation from the DMC to consider stopping the global Phase III OPTIMA Study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RFA for the treatment of HCC, or primary liver cancer. The recommendation was made following the second pre-planned interim safety and efficacy analysis by the DMC on July 9, 2020. The DMC analysis found that the pre-specified boundary for stopping the trial for futility of 0.900 was crossed with an actual value of 0.903. The Company intends to follow the advice of the DMC and will consider its options either to stop the study or continue to follow patients after a thorough review of the data, and an evaluation of the probability of success. Timing for this decision is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2019, filed with the SEC on March 25, 2020,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Celsion is a fully integrated oncology company focused on developing a portfolio of innovative cancer treatments, including immunotherapies, DNA-based therapies and directed chemotherapies. The Company’s product pipeline includes GEN-1, a DNA-based immunotherapy for the localized treatment of ovarian cancer and ThermoDox®, a proprietary heat-activated liposomal encapsulation of doxorubicin, currently in Phase III development for the treatment of primary liver cancer and in development for other cancer indications. Celsion has two feasibility stage platform technologies for the development of novel nucleic acid-based immunotherapies and other anti-cancer DNA or RNA therapies. Both are novel synthetic, non-viral vectors with demonstrated capability in nucleic acid cellular transfection. With these technologies we are working to develop and commercialize more efficient, effective and targeted oncology therapies that maximize efficacy while minimizing side effects common to cancer treatments.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ThermoDox® is being evaluated in a Phase III clinical trial for primary liver cancer, which we call the OPTIMA Study, which was initiated in 2014.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RFA, for newly diagnosed,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intermediate stage HCC patients. HCC incidence globally is approximately 755,000 new cases per year and is the third largest cancer indication globally. Approximately 30% of newly diagnosed patients can be addressed with RFA.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(the “HEAT Study”). The OPTIMA Study is supported by a hypothesis developed from an overall survival analysis of a large subgroup of patients from the HEAT Study.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Post-hoc data analysis from our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OPTIMA Study was designed with extensive input from globally recognized HCC researchers and expert clinicians and after receiving formal written feedback from the FDA. The OPTIMA Study was designed to enroll up to 550 patients globally at approximately 65 clinical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 The Company completed enrollment of 556 patients in the Phase III OPTIMA Study in August 2018.</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5, 2019, the Company announced that the prescribed number of OS events had been reached for the first prespecified interim analysis of the OPTIMA Phase III Study. Following preparation of the data, the first interim analysis was conducted by the DMC on November 1, 2019. This timeline was consistent with the Company’s stated expectations and is necessary to provide a full and comprehensive data set that may represent the potential for a successful trial outcome. In accordance with the statistical plan, this initial interim analysis has a target of 118 events, or 60% of the total number required for the final analysis. At the time of the data cutoff, the Company received reports of 128 events. The hazard ratio for success at 128 events is approximately 0.63, which represents a 37% reduction in the risk of death compared with RFA alone and is consistent with the 0.65 hazard ratio that was observed in the prospective HEAT Study subgroup, which demonstrated a two-year overall survival advantage and a median time to death of more than seven and a half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258"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(CIO), with the full data set from the Company’s HEAT Study. The analysis evaluated the full data set to determine if there was a correlation between baseline tumor volume and radiofrequency ablation</w:t>
      </w:r>
    </w:p>
    <w:p>
      <w:pPr>
        <w:jc w:val="both"/>
        <w:spacing w:after="0" w:line="221" w:lineRule="auto"/>
        <w:rPr>
          <w:sz w:val="20"/>
          <w:szCs w:val="20"/>
          <w:color w:val="auto"/>
        </w:rPr>
      </w:pPr>
      <w:r>
        <w:rPr>
          <w:rFonts w:ascii="Arial" w:cs="Arial" w:eastAsia="Arial" w:hAnsi="Arial"/>
          <w:sz w:val="18"/>
          <w:szCs w:val="18"/>
          <w:color w:val="auto"/>
        </w:rPr>
        <w:t>(RFA) heating time (minutes/tumor volume in milliliters), with or without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article titled, “</w:t>
      </w:r>
      <w:r>
        <w:rPr>
          <w:rFonts w:ascii="Arial" w:cs="Arial" w:eastAsia="Arial" w:hAnsi="Arial"/>
          <w:sz w:val="16"/>
          <w:szCs w:val="16"/>
          <w:i w:val="1"/>
          <w:iCs w:val="1"/>
          <w:color w:val="auto"/>
        </w:rPr>
        <w:t>RFA Duration Per Tumor Volume May Correlate With Overall Survival in Solitary Hepatocellular Carcinoma Patients Treated With RFA</w:t>
      </w:r>
      <w:r>
        <w:rPr>
          <w:rFonts w:ascii="Arial" w:cs="Arial" w:eastAsia="Arial" w:hAnsi="Arial"/>
          <w:sz w:val="16"/>
          <w:szCs w:val="16"/>
          <w:color w:val="auto"/>
        </w:rPr>
        <w:t xml:space="preserve"> </w:t>
      </w:r>
      <w:r>
        <w:rPr>
          <w:rFonts w:ascii="Arial" w:cs="Arial" w:eastAsia="Arial" w:hAnsi="Arial"/>
          <w:sz w:val="16"/>
          <w:szCs w:val="16"/>
          <w:i w:val="1"/>
          <w:iCs w:val="1"/>
          <w:color w:val="auto"/>
        </w:rPr>
        <w:t>Plus Lyso-thermosensitive Liposomal Doxorubicin</w:t>
      </w:r>
      <w:r>
        <w:rPr>
          <w:rFonts w:ascii="Arial" w:cs="Arial" w:eastAsia="Arial" w:hAnsi="Arial"/>
          <w:sz w:val="16"/>
          <w:szCs w:val="16"/>
          <w:color w:val="auto"/>
        </w:rPr>
        <w:t>,” discussed the NIH analysis of results from 437 patients in the HEAT Study (all patients with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lesion representing 62.4% of the study population). The key finding was that increased RFA heating time per tumor volume significantly improved overall</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survival (OS) in patients with single-lesion HCC who were treated with RFA plus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patients treated with RFA alone. A one-unit increase in RFA duration per tumor volume was shown to result in about a 20% improvement in OS for patients administered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RFA alone. The authors conclude that increasing RFA heating time in combination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significantly improves OS and establishes an improvement of over two years versus the control arm when the heating time per milliliter of tumor is greater than 2.5 minutes. This finding is consistent with the Company’s own results, which defined the optimized RFA procedure as a 45-minute treatment for tumors with a diameter of 3 centimeters. Thus, the NIH analysis lends support to the hypothesis underpinning the OPTIMA Study.</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4, 2019, the Company announced that the DMC unanimously recommended the OPTIMA Study continue according to protocol. The recommendation was based on a review of blinded safety and data integrity from 556 patients enrolled in the Company’s multinational, double-blind, placebo-controlled pivotal Phase III OPTIMA Study. The DMC’s pre-planned interim efficacy review followed 128 patient events, or deaths, which occurred in August 2019. Data presented demonstrated that PFS and OS data appear to be tracking with patient data observed at a similar point in the Company’s subgroup of patients followed prospectively in the earlier Phase III HEAT Study, upon which the OPTIMA Study is based.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data review demonstrated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OPTIMA Study patient demographics and risk factors are consistent with what the Company observed in the HEAT Study subgroup with all data quality metrics meeting expectations.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Median PFS for the OPTIMA Study reached 17 months as of August 2019. These blinded data compare favorably with 16 months median PFS for all 285 patients in the HEAT Study subgroup of patients treated with RFA &gt;45 minutes.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Median OS for the OPTIMA Study has not been reached as of August 5, 2019, however median OS appears to be consistent with the HEAT Study subgroup of patients treated with RFA &gt;45 minutes and followed prospectively for overall survival.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OPTIMA Study has lost only 4 patients to follow-up from the initiation of the trial in September 2014 through August 2019 while the trial design allows for 3% risk for loss per year, which at this point would have exceeded 60 patients.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Unblinded PFS and OS were tracking similarly to the subgroup of patients who received more than 45 minutes of RFA in our HEAT Study and followed prospectively for more than three years. This subgroup in the HEAT Study demonstrated a 2-year overall survival advantage and a median time to death of more than 7 ½ years. This tracking appears to bode well for success at the second of two pre-planned interim efficacy analysis, which is intended after a minimum of 158 patient deaths and is projected to occur during the second quarter of 2020. The hazard ratio for success at 158 events is 0.70. This is below the hazard ratio of 0.65 observed in the HEAT Study subgroup of patients treated with RFA &gt; 45 minutes.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has left the final decision of whether or not to stop the OPTIMA Study to Celsion. There were no safety concerns noted during the interim analysis. The Company intends to follow the advice of the DMC and will consider our options either to stop the study or continue to follow patients after a thorough review of the data, and an evaluation of our probability of success. Timing for this decision is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in the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tumours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460" w:hanging="331"/>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460" w:hanging="33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460" w:hanging="33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GEN-I OVATION Study. </w:t>
      </w:r>
      <w:r>
        <w:rPr>
          <w:rFonts w:ascii="Arial" w:cs="Arial" w:eastAsia="Arial" w:hAnsi="Arial"/>
          <w:sz w:val="16"/>
          <w:szCs w:val="16"/>
          <w:color w:val="auto"/>
        </w:rPr>
        <w:t>In February 2015, we announced that the FDA accepted, without objection, the Phase I dose-escalation clinical trial of GEN-1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with the standard of care in neoadjuvant ovarian cancer (the “OVATION Study”). On September 30, 2015, we announced enrollment of the first patient in the OVATION Study. The OVATION Study was designed to (i) identify a safe, tolerable and potentially therapeutically active dose of GEN-1 by recruiting and maximizing an immune response; (ii) to enroll three to six patients per dose level and will evaluate safety and efficacy and (iii)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6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we announced final clinical and translational research data from the OVATION Study.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overall survival;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2019, the Company announced final PFS results from the OVATION Study. Median PFS in patients treated per protocol (n=14) was 21 months and was 17.1 months for the intent-to-treat population (n=18) for all dose cohorts, including three patients who dropped out of the study after 13 days or less, and two patients who did not receive full NAC and GEN-1 cycles. Under the current standard of care, in women with Stage III/IV ovarian cancer undergoing NAC, the disease progresses within about 12 months on average. The results from the OVATION Study support continued evaluation of GEN-1 based on promising tumor response, as reported in the PFS data, and the ability for surgeons to completely remove visible tumor at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2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patients randomized Phase II study.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The OVATION 2 Study will include up to 130 patients with Stage III/IV ovarian cancer, with 12 to 15 patients in the Phase I portion and up to 118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5, 2019, the Company announced that the independent Data Safety Monitoring Board (DSMB) completed its safety review of data from the first eight patients enrolled in the ongoing Phase I/II OVATION 2 Study. Based on the DSMB’s recommendation, the study will continue as planned and the Company will proceed with completing enrollment in the Phase I portion of the trial.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highly encouraging initial clinical data from the first 15 patients enrolled in the ongoing Phase I/II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seven out of nine patients (78%) in the GEN-1 treatment arm having an R0 resection, which indicates a microscopically margin-negative resection in which no gross or microscopic tumor remains in the tumor bed. Only three out of six patients (50%) in the NACT only treatment arm had a R0 resection.</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8620" w:hanging="202"/>
        <w:spacing w:after="0"/>
        <w:tabs>
          <w:tab w:leader="none" w:pos="8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of Patients</w:t>
      </w:r>
    </w:p>
    <w:p>
      <w:pPr>
        <w:spacing w:after="0" w:line="2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with</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R0 Resections</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20"/>
        </w:trPr>
        <w:tc>
          <w:tcPr>
            <w:tcW w:w="48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48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GEN-1 plus NACT</w:t>
            </w:r>
          </w:p>
        </w:tc>
        <w:tc>
          <w:tcPr>
            <w:tcW w:w="2800" w:type="dxa"/>
            <w:vAlign w:val="bottom"/>
            <w:shd w:val="clear" w:color="auto" w:fill="CCEEFF"/>
          </w:tcPr>
          <w:p>
            <w:pPr>
              <w:ind w:left="1900"/>
              <w:spacing w:after="0" w:line="203" w:lineRule="exact"/>
              <w:rPr>
                <w:sz w:val="20"/>
                <w:szCs w:val="20"/>
                <w:color w:val="auto"/>
              </w:rPr>
            </w:pPr>
            <w:r>
              <w:rPr>
                <w:rFonts w:ascii="Arial" w:cs="Arial" w:eastAsia="Arial" w:hAnsi="Arial"/>
                <w:sz w:val="18"/>
                <w:szCs w:val="18"/>
                <w:color w:val="auto"/>
              </w:rPr>
              <w:t>n=12</w:t>
            </w:r>
          </w:p>
        </w:tc>
        <w:tc>
          <w:tcPr>
            <w:tcW w:w="13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42%</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2800" w:type="dxa"/>
            <w:vAlign w:val="bottom"/>
          </w:tcPr>
          <w:p>
            <w:pPr>
              <w:ind w:left="1900"/>
              <w:spacing w:after="0"/>
              <w:rPr>
                <w:sz w:val="20"/>
                <w:szCs w:val="20"/>
                <w:color w:val="auto"/>
              </w:rPr>
            </w:pPr>
            <w:r>
              <w:rPr>
                <w:rFonts w:ascii="Arial" w:cs="Arial" w:eastAsia="Arial" w:hAnsi="Arial"/>
                <w:sz w:val="18"/>
                <w:szCs w:val="18"/>
                <w:color w:val="auto"/>
              </w:rPr>
              <w:t>n=17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objective response rate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23, 2020, the Company announced that the European Medicines Agency (EMA) Committee for Orphan Medicinal Products (COMP) has recommended that GEN-1 be designated as an orphan medicinal product for the treatment of ovarian cancer. GEN-1, designed using Celsion’s proprietary TheraPlas platform technology, is an IL-12 DNA plasmid vector encased in a non-viral nanoparticle delivery system, which enables cell transfection followed by persistent, local secretion of the IL-12 protein. GEN-1 previously received orphan designation from the FDA and is currently being evaluated in a Phase I/II clinical trial (the OVATION 2 Study) for the treatment of newly diagnosed patients with Stage III and IV ovarian cancer.</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26, 2020, the Company announced with Medidata, a Dassault Systèmes company, that examining matched patient data provided by Medidata in a synthetic control arm (SCA) with results from the Company’s completed Phase Ib dose-escalating OVATION I Study with GEN-1 in Stage III/IV ovarian cancer patients showed positive results in progression-free survival (PFS). The hazard ratio (HR) was 0.53 in the intent-to-treat (ITT) group, showing strong signals of efficacy. GEN-1, designed using Celsion’s proprietary TheraPlas platform technology, is an IL-12 DNA plasmid vector encased in a non-viral nanoparticle delivery system, which enables cell transfection followed by persistent, local secretion of the IL-12 protein.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 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311" w:lineRule="auto"/>
        <w:rPr>
          <w:sz w:val="20"/>
          <w:szCs w:val="20"/>
          <w:color w:val="auto"/>
        </w:rPr>
      </w:pPr>
      <w:r>
        <w:rPr>
          <w:rFonts w:ascii="Arial" w:cs="Arial" w:eastAsia="Arial" w:hAnsi="Arial"/>
          <w:sz w:val="16"/>
          <w:szCs w:val="16"/>
          <w:color w:val="auto"/>
        </w:rPr>
        <w:t>On July 27, 2020, the Company announced the randomization of the first two patients in the Phase II portion of the Phase I/II OVATION 2 Study with GEN-1 in advanced ovarian cancer. The Company anticipates completing enrolment of up to 118 patients in the third quarter of 2021. Because this is an open-label study, the Company intends to provide clinical updates throughout the course of treatment including response rates and surgical resection scores.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8, 2016, we signed the GEN-1 Agreement with Hisun to pursue an expanded partnership for the technology transfer relating to the clinical and commercial manufacture and supply of GEN-1, Celsion’s proprietary gene mediated, IL-12 immunotherapy, for the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FDA. The Company has not generated significant revenue and have incurred significant net losses in each year since our inception. As of June 30, 2020, the Company has incurred approximately $301 million of cumulative net losses and we had approximately $25.5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United States.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thus far in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ability to raise additional capital may be adversely impacted by potential worsening global economic conditions and the recent disruptions to, and volatility in, financial markets in the United States and worldwide resulting from the ongoing COVID-19 pandemic.</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disruptions caused by COVID-19 may also disrupt the clinical trials process and enrolment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these financial statements.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July 13, 2020, the Company announced that it has received a recommendation from the DMC to consider stopping the global Phase III OPTIMA Study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RFA for the treatment of HCC, or primary liver cancer. The recommendation was made following the second pre-planned interim safety and efficacy analysis by the DMC on July 9, 2020. The DMC analysis found that the pre-specified boundary for stopping the trial for futility of 0.900 was crossed with an actual value of 0.903. The Company intends to follow the advice of the DMC and will consider its options either to stop the study or continue to follow patients after a thorough review of the data, and an evaluation of the probability of success. Timing for this decision is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As more fully discussed in Note 9, the Company received approval from the New Jersey Economic Development Authority to sell $1.9 million of its State of New Jersey net operating losses recognizing a tax benefit for the year ended December 31, 2019 for the net proceeds (approximately $1.8 million). In early 2020, the Company entered into an agreement to sell these net operating losses. In April of 2020, the Company completed the sale of its State of New Jersey net operating losses and received $1.8 million in net proceeds. In 2018, the Company completed the sale of a portion of its State of New Jersey net operating losses for calendar years 2011 - 2017 totalling approximately $11.1 million for net proceeds of approximately $10.4 million in December 2018. The proceeds of $10.4 million were reflected as a tax benefit for the year ended December 31, 2018. In June 2020, the Company filed an application with the New Jersey Economic Development Authority to sell substantially all of its remaining State of New Jersey net operating losses totalling $2.0 million available under the program.</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the Company entered into the Horizon Credit Agreement with Horizon that provided $10 million in new capital.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after through July 2020, closing, followed by a 24-month amortization period of principal and interest starting on August 1, 2020 and ending through the scheduled maturity date.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$25.5 million in cash, investments, interest receivable and up to $2.0 million in potential proceeds from the sale of the 2019 State of New Jersey net operating losses, coupled with remaining availability under the Capital-on-Demand Equity Facility with JonesTrading Institutional Services LLC, the Company believes it has sufficient capital resources to fund its operations through the end of 2021.</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more fully discussed in Note 3 of the Financial Statement included in this Quarterly Report, during the fourth quarter of 2018 and 2020, the Company received eligibility from the New Jersey Economic Development Authority to sell $11.1 million and $1.9 million, respectively, of its unused New Jersey net operating losses under the Technology Business Tax Certificate Program, and after selling these net operating losses, received $10.4 million and $1.8 million of non-dilutive funding in the fourth quarter of 2018 and second quarter of 2020, respectively. In June 2020, the Company filed an application with the New Jersey Economic Development Authority to sell substantially all the remaining $2.0 million of its State of New Jersey net operating losses available under the program.</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23, 2020, we entered into the April PPP Loan, pursuant to the CARES Act and administered by the SBA. We thereafter received proceeds of $632,220 under the April PPP Loan. The April PPP Loan application required Celsion to certify that there was economic uncertainty surrounding the Company and that, as such, the April PPP Loan was necessary to support our ongoing operations. Celsion made this certification in good faith after analysing, among other things, its financial situation and access to alternative forms of capital, and believed that the Company satisfied all eligibility criteria for the April PPP Loan, and that our receipt of the April PPP Loan proceeds was consistent with the broad objectives of the PPP of the CARES Act. The certification given with respect to the April PPP Loan does not contain any objective criteria and is subject to interpretation. Considering subsequent guidance issued by the U.S. Small Business Administration in consultation with the U.S. Department of the Treasury at that time, out of an abundance of caution we returned the proceeds of the PPP Loan in full on May 13, 2020.</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Shortly after the April PPP Loan was repaid, the SBA provided further guidance with respect to these certifications providing a safe harbor under which companies such as Celsion with PPP loans of less than $2 million will be deemed to have made these certifications in good faith. Therefore, as the Company continued to believe it qualifies for a loan under the PPP, it reapplied for and eventually received the May PPP Loan for $692,530 on May 26, 2020. The May PPP Loan is guaranteed by the SBA and evidenced the Note in the principal amount of $692,530 payable to the lender. Pursuant to the terms of the Note, it may be prepaid in part or in full, at any time, without penalty. On June 22, 2020, as disclosed in the Company’s Current Report on Form 8-K filed on the same date, the Company commenced an offering of 2,666,667 shares of its common stock which closed on June 24, 2020 (Note 11) and received net proceeds of approximately $9.1 million. In light of the proceeds received from this equity offering, the Company elected to repay the May PPP Loan in full (including interest accrued of $577), on June 24, 2020, terminating all obligations of the Company under the Note.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the Company entered into the Horizon Credit Agreement with Horizon that provided $10 million in new capital.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after through July 2020, closing, followed by a 24-month amortization period of principal and interest starting on August 1, 2020 and ending through the scheduled maturity date.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and thus far in 2020, we issued a total of 13.8 million shares of common stock in the following equity transactions raising approximately $27.8 million in gross proceeds.</w:t>
      </w:r>
    </w:p>
    <w:p>
      <w:pPr>
        <w:spacing w:after="0" w:line="170" w:lineRule="exact"/>
        <w:rPr>
          <w:sz w:val="20"/>
          <w:szCs w:val="20"/>
          <w:color w:val="auto"/>
        </w:rPr>
      </w:pPr>
    </w:p>
    <w:p>
      <w:pPr>
        <w:jc w:val="both"/>
        <w:ind w:left="52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22, 2020, the Company entered into an underwriting agreement (the “Underwriting Agreement”) with Oppenheimer &amp; Co. Inc. (the “Underwriter”), relating to the issuance and sale (the “Underwritten Offering”) of 2.7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are approximately $9.1 million. The Underwritten Offering closed on June 24, 2020 and was made pursuant to the Company’s effective shelf registration statement on Form S-3 (File No. 333- 227236) filed with the Securities and Exchange Commission on September 7, 2018, and declared effective on October 12, 2018, including the base prospectus dated October 12, 2018 included therein and the related prospectus supplement.</w:t>
      </w:r>
    </w:p>
    <w:p>
      <w:pPr>
        <w:spacing w:after="0" w:line="196" w:lineRule="exact"/>
        <w:rPr>
          <w:rFonts w:ascii="Arial" w:cs="Arial" w:eastAsia="Arial" w:hAnsi="Arial"/>
          <w:sz w:val="18"/>
          <w:szCs w:val="18"/>
          <w:color w:val="auto"/>
        </w:rPr>
      </w:pPr>
    </w:p>
    <w:p>
      <w:pPr>
        <w:jc w:val="both"/>
        <w:ind w:left="520" w:hanging="512"/>
        <w:spacing w:after="0" w:line="26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February 27, 2020, we entered into a Securities Purchase Agreement (the “Purchase Agreement”) with several institutional investors, pursuant to which we agreed to issue and sell, in a registered direct offering (the “February 2020 Offering”), an aggregate of 4.6 million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contains customary representations, warranties and agreements by the Company and customary conditions to closing. In a concurrent private placement (the “Private Placement”), the Company agreed to issue to the investors that participated in the Offering, for no additional consideration, warrants, to purchase up to 3.0 million shares of Common Stock (the “Original Warrants”). The Original Warrants were initially exercisable six months following their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 million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ind w:left="520" w:hanging="512"/>
        <w:spacing w:after="0" w:line="26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August 31, 2018, the Company entered into the 2018 Aspire Purchase Agreement with Aspire Capital Fund LLC (“Aspire Capital”) which provides that, upon the terms and subject to the conditions and limitations set forth therein, Aspire Capital was committed to purchase up to an aggregate of $15.0 million of shares of the Company’s common stock over the 24-month term of the 2018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were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in 2018, the Company issued to Aspire Capital 164,835 Commitment Shares. The 2018 Aspire Purchase Agreement could be terminated by the Company at any time, at its discretion, without any cost to the Company. During 2019 the Company sold and issued an aggregate of 3.3 million shares under the Purchase Agreement, receiving approximately $6.3 million. All proceeds from the Company received under the 2018 Aspire Purchase Agreement were used for working capital and general corporate purposes. As a result of the Company and Aspire Capital entering into a new purchase agreement on October 28, 2019 discussed in the next paragraph, the 2018 Aspire Purchase Agreement was terminated. The Company sold a total of 3.4 million shares receiving $6.5 million under the 2018 Aspire Agreement during 2018 through its termination in 2019.</w:t>
      </w:r>
    </w:p>
    <w:p>
      <w:pPr>
        <w:spacing w:after="0" w:line="181" w:lineRule="exact"/>
        <w:rPr>
          <w:rFonts w:ascii="Arial" w:cs="Arial" w:eastAsia="Arial" w:hAnsi="Arial"/>
          <w:sz w:val="17"/>
          <w:szCs w:val="17"/>
          <w:color w:val="auto"/>
        </w:rPr>
      </w:pPr>
    </w:p>
    <w:p>
      <w:pPr>
        <w:jc w:val="both"/>
        <w:ind w:left="520" w:hanging="512"/>
        <w:spacing w:after="0" w:line="286"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October 28, 2019, Company entered into the 2019 Aspire Purchase Agreement with Aspire Capital. The terms and conditions pursuant to the 2019 Aspire Purchase Agreement were substantially similar to the 2018 Aspire Purchase Agreement. Pursuant to the new 2019 Aspire Purchase Agreement, Aspire Capital was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of 1933, as amended (the “Securities Act”), registering the sale of the shares of the Company’s common stock that have been and may be issued to Aspire Capital under the 2019 Aspire Purchase Agreement. In consideration for entering into the 2019 Aspire Purchase Agreement, the Company issued to Aspire Capital an additional 0.1 million Commitment Shares. On November 8, 2019, the Company filed with the SEC a Registration Statement on Form S-1 registering all the shares of common stock that may be offered to Aspire Capital from time to time under the 2019 Aspire Purchase Agreement. During 2019, the Company sold 0.5 million shares of common stock under the 2019 Aspire Purchase Agreement, receiving approximately $0.7 million in gross proceeds. On March 5, 2020, the Company delivered notice to Aspire Capital terminating the 2019 Aspire Purchase Agreement effective as of March 6, 2020. During the first quarter of 2020 though the date of termination, the Company sold 1.0 million shares of common stock under the 2019 Aspire Purchase Agreement and received $1.6 million in gross proceeds.</w:t>
      </w:r>
    </w:p>
    <w:p>
      <w:pPr>
        <w:spacing w:after="0" w:line="174" w:lineRule="exact"/>
        <w:rPr>
          <w:rFonts w:ascii="Arial" w:cs="Arial" w:eastAsia="Arial" w:hAnsi="Arial"/>
          <w:sz w:val="16"/>
          <w:szCs w:val="16"/>
          <w:color w:val="auto"/>
        </w:rPr>
      </w:pPr>
    </w:p>
    <w:p>
      <w:pPr>
        <w:jc w:val="both"/>
        <w:ind w:left="520" w:hanging="467"/>
        <w:spacing w:after="0" w:line="270" w:lineRule="auto"/>
        <w:tabs>
          <w:tab w:leader="none" w:pos="520" w:val="left"/>
        </w:tabs>
        <w:numPr>
          <w:ilvl w:val="1"/>
          <w:numId w:val="17"/>
        </w:numPr>
        <w:rPr>
          <w:rFonts w:ascii="Arial" w:cs="Arial" w:eastAsia="Arial" w:hAnsi="Arial"/>
          <w:sz w:val="32"/>
          <w:szCs w:val="32"/>
          <w:color w:val="auto"/>
          <w:vertAlign w:val="superscript"/>
        </w:rPr>
      </w:pPr>
      <w:r>
        <w:rPr>
          <w:rFonts w:ascii="Arial" w:cs="Arial" w:eastAsia="Arial" w:hAnsi="Arial"/>
          <w:sz w:val="16"/>
          <w:szCs w:val="16"/>
          <w:color w:val="auto"/>
        </w:rPr>
        <w:t>On December 4, 2018, the Company entered into a new Capital on Demand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During 2019 and in 2020 thus far, the Company sold 0.5 million and 1.2 million shares of common stock under the Capital on Demand Agreement, respectively, receiving gross proceeds of approximately $1.0 million and $3.5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2019 Annual Report on Form 10-K for the year ended December 31, 2019 filed with the SEC on March 25, 2020.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FASB issued Accounting Standard Update No. 2016-13, “Financial Instruments – Credit Losses (Topic 326): Measurement of Credit Losses on Financial Instruments”, which modifies the measurement of expected credit losses on certain financial instruments. The Company will adopt ASU 2016-13 in its first quarter of 2021 utilizing the modified retrospective transition method. Based on the composition of the Company’s investment portfolio and current market conditions, the adoption of ASU 2016-13 is not expected to have a material impact on its consolidated financial statements.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adoption of this standard did not have an impact on the Company’s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is currently evaluating the impact that the adoption of this standard will have on its consolidated financial statements.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FINANCIAL REVIEW FOR THE THREE AND SIX MONTHS ENDED JUNE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months ended June 30, 2020 our net loss was $5.1 million compared to a net loss of $2.4 million for the same three-month period of 2019. For the six months ended June 30, 2020 our net loss was $10.4 million compared to a net loss of $8.3 million for the same three-month period of 2019.</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$25.5 million in cash, investments, interest receivable and income tax receivable at June 30, 2020, coupled with future sales of the Company’s State of New Jersey net operating losses well as the remaining availability under the Capital on Demand Equity Agreement, the Company believes it has sufficient capital resources to fund its operations through the end of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8"/>
                <w:szCs w:val="18"/>
                <w:b w:val="1"/>
                <w:bCs w:val="1"/>
                <w:color w:val="auto"/>
                <w:w w:val="92"/>
              </w:rPr>
              <w:t>Three Months Ended June 30,</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6"/>
          </w:tcPr>
          <w:p>
            <w:pPr>
              <w:jc w:val="right"/>
              <w:ind w:right="1081"/>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25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2"/>
              </w:rPr>
              <w:t>Change Increase (Decrease)</w:t>
            </w:r>
          </w:p>
        </w:tc>
        <w:tc>
          <w:tcPr>
            <w:tcW w:w="220" w:type="dxa"/>
            <w:vAlign w:val="bottom"/>
          </w:tcPr>
          <w:p>
            <w:pPr>
              <w:spacing w:after="0"/>
              <w:rPr>
                <w:sz w:val="20"/>
                <w:szCs w:val="20"/>
                <w:color w:val="auto"/>
              </w:rPr>
            </w:pPr>
          </w:p>
        </w:tc>
      </w:tr>
      <w:tr>
        <w:trPr>
          <w:trHeight w:val="237"/>
        </w:trPr>
        <w:tc>
          <w:tcPr>
            <w:tcW w:w="51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1,481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2,327</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(846)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(36.4)%</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1,510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03"/>
        </w:trPr>
        <w:tc>
          <w:tcPr>
            <w:tcW w:w="51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2,991</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3,558</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(567)</w:t>
            </w:r>
          </w:p>
        </w:tc>
        <w:tc>
          <w:tcPr>
            <w:tcW w:w="3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(15.9)%</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1,901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2,137</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0"/>
        </w:trPr>
        <w:tc>
          <w:tcPr>
            <w:tcW w:w="51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5,695</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(14.1)%</w:t>
            </w:r>
          </w:p>
        </w:tc>
      </w:tr>
      <w:tr>
        <w:trPr>
          <w:trHeight w:val="229"/>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8"/>
                <w:szCs w:val="18"/>
                <w:b w:val="1"/>
                <w:bCs w:val="1"/>
                <w:color w:val="auto"/>
                <w:w w:val="95"/>
              </w:rPr>
              <w:t>Six Months Ended June 30,</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6"/>
          </w:tcPr>
          <w:p>
            <w:pPr>
              <w:jc w:val="right"/>
              <w:ind w:right="1081"/>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25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2"/>
              </w:rPr>
              <w:t>Change Increase (Decrease)</w:t>
            </w:r>
          </w:p>
        </w:tc>
        <w:tc>
          <w:tcPr>
            <w:tcW w:w="220" w:type="dxa"/>
            <w:vAlign w:val="bottom"/>
          </w:tcPr>
          <w:p>
            <w:pPr>
              <w:spacing w:after="0"/>
              <w:rPr>
                <w:sz w:val="20"/>
                <w:szCs w:val="20"/>
                <w:color w:val="auto"/>
              </w:rPr>
            </w:pPr>
          </w:p>
        </w:tc>
      </w:tr>
      <w:tr>
        <w:trPr>
          <w:trHeight w:val="236"/>
        </w:trPr>
        <w:tc>
          <w:tcPr>
            <w:tcW w:w="51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7"/>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3,299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4,107</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(808)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2,744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2,218</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526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03"/>
        </w:trPr>
        <w:tc>
          <w:tcPr>
            <w:tcW w:w="51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6,043</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6,325</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(282)</w:t>
            </w:r>
          </w:p>
        </w:tc>
        <w:tc>
          <w:tcPr>
            <w:tcW w:w="3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(4.5)%</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3,740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4,355</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51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9,783</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10,680</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(8.4)%</w:t>
            </w:r>
          </w:p>
        </w:tc>
      </w:tr>
      <w:tr>
        <w:trPr>
          <w:trHeight w:val="23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3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a technology development contract with Hisun, pursuant to which Hisun paid us a non-refundable technology transfer fee of $5.0 million to support our development of ThermoDox® in the China territory. The $5.0 million received as a non-refundable payment from Hisun in the second quarter 2013 has been recorded to deferred revenue and will be amortized over the ten-year term of the agreement; therefore, we recorded deferred revenue of $125,000 in each of the second quarters of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(“R&amp;D”) expenses decreased by $0.6 million to $3.0 million in the second quarter of 2020 from $3.6 million in the same period of 2019. Costs associated with the OPTIMA Study decreased to $0.6 million in the second quarter of 2020 compared to $1.2 million in the same period of 2019. Costs associated the OVATION 2 Study increased to $0.2 million in the second quarter of 2020 compared to $0.1 million in the same period of 2019. Regulatory costs were $0.3 million in the second quarter of 2020 compared to $0.4 million in the same period of 2019. Other clinical costs were consistent at $0.5 million in the second quarter of 2020 compared to $0.6 million in the same period of 2019. Costs associated with the development of GEN-1 to support the OVATION 2 Study were $0.7 million in the second quarter of 2020 compared to $0.8 million in the same period of 2019. Production costs associated with the development of ThermoDox® increased to $0.8 million in the second quarter of 2020 compared to $0.4 million in the same period of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General and administrative expenses decreased to $1.9 million in the second quarter of 2020 compared to $2.1 million in the same period of 2019. This decrease is primarily attributable to lower professional fees in the second quarter of 2020 when compared to the same period of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the Amended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4"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the amended agreement. These warrant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and March 31, 2020, the Company fair valued the earn-out milestone liability at $6.0 million and $5.8 million, respectively and recognized a non-cash charge of $0.2 million during the second quarter of 2020. In assessing the earnout milestone liability at June 30, 2020,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2019, and March 31, 2019, the Company fair valued the earn-out milestone liability at $5.9 million and $5.8 million, respectively and recognized a non-cash charge of $0.1 million during the second quarter of 2019. In assessing the earnout milestone liability at June 30, 2019, the Company the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$0.1 million of investment income from its short-term investments during the second quarter of 2019. Investment income was insignificant in the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Horizon Credit Agreement, the Company incurred $0.7 million in interest expense in each of the second quarters of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a technology development contract with Hisun, pursuant to which Hisun paid us a non-refundable technology transfer fee of $5.0 million to support our development of ThermoDox® in the China territory. The $5.0 million received as a non-refundable payment from Hisun in the second quarter 2013 has been recorded to deferred revenue and will be amortized over the ten-year term of the agreement; therefore, we recorded deferred revenue of $250,000 in each of the first halves of 2020 and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R&amp;D expenses decreased by $0.3 million to $6.0 million in the first half of 2020 from $6.3 million in the same period of 2019. Costs associated with the OPTIMA Study decreased to $1.3 million in the first half of 2020 compared to $2.1 million in the same period of 2019. Costs associated the OVATION 2 Study increased to $0.5 million in the first half of 2020 compared to $0.2 million in the same six-month period of 2019. Regulatory costs were $0.4 million in the first half of 2020 compared to $0.6 million in the same period of 2019. Other clinical costs were consistent at $1.1 million in the first half of 2020 compared to $1.2 million in the same period of 2019. Costs associated with the development of GEN-1 to support the OVATION 2 Study were $1.6 million in the first half of 2020 compared to $1.5 million in the same period of 2019. Production costs associated with the development of ThermoDox® increased to $1.1 million in the first half of 2020 compared to $0.7 million in the same period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decreased to $3.7 million in the first half of 2020 compared to $4.4 million in the same period of 2019. This decrease is primarily attributable to lower personnel costs and professional fees in the first six months of 2020 when compared to the same period of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the Amended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4"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the amended agreement. These warrant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and December 31, 2019, the Company fair valued the earn-out milestone liability at $6.0 million and $5.7 million, respectively and recognized a non-cash charge of $0.3 million during the first half of 2020. In assessing the earnout milestone liability at June 30, 2020,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2019, and December 31, 2018, the Company fair valued the earn-out milestone liability at $5.9 million and $8.8 million, respectively and recognized a non-cash benefit of $3.0 million during the first half of 2019. In assessing the earnout milestone liability at June 30, 2019, the Company the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$0.1 million and $0.3 million of investment income from its short-term investments during the first half of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Horizon Credit Agreement, the Company incurred $0.7 million in interest expense in each of the first halves of 2020 and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59" w:lineRule="auto"/>
        <w:rPr>
          <w:sz w:val="20"/>
          <w:szCs w:val="20"/>
          <w:color w:val="auto"/>
        </w:rPr>
      </w:pPr>
      <w:r>
        <w:rPr>
          <w:rFonts w:ascii="Arial" w:cs="Arial" w:eastAsia="Arial" w:hAnsi="Arial"/>
          <w:sz w:val="16"/>
          <w:szCs w:val="16"/>
          <w:color w:val="auto"/>
        </w:rPr>
        <w:t>development agreement with Hisun. The process of developing and commercializing ThermoDox</w:t>
      </w:r>
      <w:r>
        <w:rPr>
          <w:rFonts w:ascii="Arial" w:cs="Arial" w:eastAsia="Arial" w:hAnsi="Arial"/>
          <w:sz w:val="26"/>
          <w:szCs w:val="26"/>
          <w:color w:val="auto"/>
          <w:vertAlign w:val="superscript"/>
        </w:rPr>
        <w:t>®</w:t>
      </w:r>
      <w:r>
        <w:rPr>
          <w:rFonts w:ascii="Arial" w:cs="Arial" w:eastAsia="Arial" w:hAnsi="Arial"/>
          <w:sz w:val="16"/>
          <w:szCs w:val="16"/>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$301 million at June 30,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2020 we had total current assets of $26.8 million (including cash, cash equivalents and short-term investments and related interest receivable on short-term investments of $25.5 million) and current liabilities of $9.2 million, resulting in net working capital of $17.6 million. At December 31, 2019 we had total current assets of $16.2 million (including cash, cash equivalents, short-term investment, interest receivable of $14.9 million) and current liabilities of $7.9 million, resulting in net working capital of $8.3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first six months of 2020 was $7.9 million. Net cash provided by investing activities was $5.1 million during the first six months of 2020. Net cash provided by financing activities was $18.6 million during the first six months of 2020 from net proceeds received through the sale of our common stock. The Company also received $1.3 million from two PPP Loans in 2020 pursuant to the CARES Act which have been paid back in full as of June 30, 2020.</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highlight w:val="white"/>
        </w:rPr>
        <w:t>Except as discussed herein, the information required in this Item 3 is not significantly different from the information set forth in “Item 7A. Quantitative and Qualitative Disclosures About Market Risk” in our 2019 Form 10-K and is therefore not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Exchange Act of 1934. Based on that evaluation, our principal executive officer and principal financial officer have concluded that, as of June 30, 2020,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20, 2019, a purported stockholder of the Company filed a derivative and putative class action lawsuit against the Company and certain officers and directors (the “Shareholder Action”). The Company is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O’Connor v. Braun et al., Docket No. MER-C-000068-19 (the “Shareholder Action”). The Shareholder Action alleges breaches of the defendants’ fiduciary duties based on allegations that the defendants omitted or made improper statements when seeking shareholder approval of the 2018 Stock Incentive Plan. The Shareholder Action seeks,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have concluded that it is desirable that the claims be settled on the terms and subject to the conditions set forth in the Settlement Agreement. The Company and the Individual Defendants are entering into the Settlement Agreement for settlement purposes only and solely to avoid the cost and disruption of further litigation.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spacing w:after="0" w:line="255" w:lineRule="auto"/>
        <w:rPr>
          <w:sz w:val="20"/>
          <w:szCs w:val="20"/>
          <w:color w:val="auto"/>
        </w:rPr>
      </w:pPr>
      <w:r>
        <w:rPr>
          <w:rFonts w:ascii="Arial" w:cs="Arial" w:eastAsia="Arial" w:hAnsi="Arial"/>
          <w:sz w:val="18"/>
          <w:szCs w:val="18"/>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to determine whether the Court should issue a final order approving the proposed Settlement has been scheduled for September 8, 2020. On August 3, 2020, the Company filed notice of the Settlement Agreement on Form 8-K as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Exchange Act of 1934 and Section 27A of the Securities Act of 1933.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2019 filed on March 25, 2020 with the SEC. In assessing these risks, investors should also refer to the other information contained or incorporated by reference in this Quarterly Report and our other filings made from time to time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a history of significant losses from operations and expect to continue to incur significant losses for the foreseeable future.</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$301 million at June 30, 2020. For the year ended December 31, 2019 and the six months ended June 30, 2020, we incurred net losses of $16.9 million and $10.4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delays or setbacks we may experience associated with our preclinical studies, clinical trials, third parties, or supply chain due to the COVID-19 pandemic,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expanded our ovarian cancer development program to include a Phase I/II dose escalating trial evaluating GEN-1 in ovarian cancer patients.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31, 2013, we announced that ThermoDox® in combination with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July 13, 2020, the Company announced that it has received a recommendation from the DMC to consider stopping the global Phase III OPTIMA Study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RFA for the treatment of HCC, or primary liver cancer. The recommendation was made following the second pre-planned interim safety and efficacy analysis by the DMC on July 9, 2020. The DMC analysis found that the pre-specified boundary for stopping the trial for futility of 0.900 was crossed with an actual value of 0.903. The Company intends to follow the advice of the DMC and will consider its options either to stop the study or continue to follow patients after a thorough review of the data, and an evaluation of the probability of success. Timing for this decision is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generated significant revenue and have incurred significant net losses in each year since our inception. For the year ended December 31, 2019 and the six months ended June 30, 2020, we incurred net losses of $16.9 million and $10.4 million, respectively. We have incurred approximately $301 million of cumulative net losses. As of June 30, 2020, cash, cash equivalents and short-term investments and related interest receivable on short-term investments of $25.5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We have substantial future capital requirements to continue our research and development activities and advance our product candidates through various development stages. For example, ThermoDox® is currently being evaluated in a Phase III clinical trial in combination with RFA for the treatment of primary liver cancer and other preclinical studies. On July 13, 2020, the Company announced that it has received a recommendation from the DMC to</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consider stopping the global Phase III OPTIMA Study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RFA for the treatment of HCC, or primary liver cancer. The recommendation was made following the second pre-planned interim safety and efficacy analysis by the DMC on July 9, 2020. The DMC analysis found that the pre-specified boundary for stopping the trial for futility of 0.900 was crossed with an actual value of 0.903. The Company intends to follow the advice of the DMC and will consider its options either to stop the study or continue to follow patients after a thorough review of the data, and an evaluation of the probability of success. Timing for this decision is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including any unforeseen delays or increased costs we may incur as a result of the COVID-19 pandemic or other causes,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factors related to the COVID-19 pandemic, including regulators or institutional review boards, or IRBs, or ethics committees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both"/>
        <w:spacing w:after="0" w:line="270" w:lineRule="auto"/>
        <w:rPr>
          <w:sz w:val="20"/>
          <w:szCs w:val="20"/>
          <w:color w:val="auto"/>
        </w:rPr>
      </w:pPr>
      <w:r>
        <w:rPr>
          <w:rFonts w:ascii="Arial" w:cs="Arial" w:eastAsia="Arial" w:hAnsi="Arial"/>
          <w:sz w:val="17"/>
          <w:szCs w:val="17"/>
          <w:color w:val="auto"/>
        </w:rPr>
        <w:t>Separately, in response to the COVID-19 global pandemic, on March 10, 2020, the FDA announced its intention to postpone most inspections of foreign manufacturing facilities and products through at least April 2020, though no set end date has been determined.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and provide guidance regarding the conduct of clinical trials, which guidance continues to evolve. In April 2020, the FDA stated that its New Drug Program was continuing to meet program user fee performance goals, but due to many agency staff working on COVID-19 activities, it was possible that the FDA would not be able to sustain that level of performance indefinitely.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outbreak of the novel coronavirus disease, COVID-19, could adversely impact our business, including our preclinical studies and clinical trials.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2020, the World Health Organization declared COVID-19 a global pandemic, and the U.S. Department of Health and Human Services declared a public health emergency to aid the U.S. healthcare community in responding to COVID-19. This virus continues to spread globally and, as of June 2020, has spread to over 100 countries, including the United States. Governments and businesses around the world have taken unprecedented actions to mitigate the spread of COVID-19, including, but not limited to, shelter-in-place orders, quarantines, and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three months ended June 30,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ability to raise additional capital may be adversely impacted by potential worsening global economic conditions and the recent disruptions to, and volatility in, financial markets in the United States and worldwide resulting from the ongoing COVID-19 pandemic.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disruptions caused by COVID-19 may also disrupt preclinical studies, the clinical trials process and enrollment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this report.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as of the date of this report, we have not experienced any material disruptions to the execution of the clinical trials and the research and development activities that we currently have underway, as a result of the pandemic we may experience disruptions that could severely impact research and development timelines and outcomes, including, but not limited to:</w:t>
      </w:r>
    </w:p>
    <w:p>
      <w:pPr>
        <w:spacing w:after="0" w:line="184" w:lineRule="exact"/>
        <w:rPr>
          <w:sz w:val="20"/>
          <w:szCs w:val="20"/>
          <w:color w:val="auto"/>
        </w:rPr>
      </w:pPr>
    </w:p>
    <w:p>
      <w:pPr>
        <w:ind w:left="660" w:hanging="38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0" w:lineRule="exact"/>
        <w:rPr>
          <w:rFonts w:ascii="Arial" w:cs="Arial" w:eastAsia="Arial" w:hAnsi="Arial"/>
          <w:sz w:val="18"/>
          <w:szCs w:val="18"/>
          <w:color w:val="auto"/>
        </w:rPr>
      </w:pPr>
    </w:p>
    <w:p>
      <w:pPr>
        <w:jc w:val="both"/>
        <w:ind w:left="660" w:hanging="382"/>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state or foreign governments, employers and others or interruption of clinical trial subject visits and study procedures (such as procedures that are deemed non-essential under law, regulation or institutional policies), which may impact the integrity of subject data and clinical study endpoints;</w:t>
      </w:r>
    </w:p>
    <w:p>
      <w:pPr>
        <w:spacing w:after="0" w:line="186" w:lineRule="exact"/>
        <w:rPr>
          <w:rFonts w:ascii="Arial" w:cs="Arial" w:eastAsia="Arial" w:hAnsi="Arial"/>
          <w:sz w:val="18"/>
          <w:szCs w:val="18"/>
          <w:color w:val="auto"/>
        </w:rPr>
      </w:pPr>
    </w:p>
    <w:p>
      <w:pPr>
        <w:ind w:left="660" w:hanging="38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left="660" w:right="20" w:hanging="38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contracted research facilities;</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we may incur as a result of the impact of the COVID-19 pandemic, including the costs of mitigation efforts;</w:t>
      </w:r>
    </w:p>
    <w:p>
      <w:pPr>
        <w:spacing w:after="0" w:line="225"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investment-related risks, including difficulties in liquidating investments due to current market conditions and adverse investment performance;</w:t>
      </w:r>
    </w:p>
    <w:p>
      <w:pPr>
        <w:spacing w:after="0" w:line="248" w:lineRule="exact"/>
        <w:rPr>
          <w:rFonts w:ascii="Arial" w:cs="Arial" w:eastAsia="Arial" w:hAnsi="Arial"/>
          <w:sz w:val="16"/>
          <w:szCs w:val="16"/>
          <w:color w:val="auto"/>
        </w:rPr>
      </w:pPr>
    </w:p>
    <w:p>
      <w:pPr>
        <w:ind w:left="660" w:right="20" w:hanging="38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research and development activities, including because of sickness of employees or their families or the desire of employees to avoid contact with large groups of people; or</w:t>
      </w:r>
    </w:p>
    <w:p>
      <w:pPr>
        <w:spacing w:after="0" w:line="146" w:lineRule="exact"/>
        <w:rPr>
          <w:rFonts w:ascii="Arial" w:cs="Arial" w:eastAsia="Arial" w:hAnsi="Arial"/>
          <w:sz w:val="17"/>
          <w:szCs w:val="17"/>
          <w:color w:val="auto"/>
        </w:rPr>
      </w:pPr>
    </w:p>
    <w:p>
      <w:pPr>
        <w:jc w:val="both"/>
        <w:ind w:left="660" w:hanging="38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or limitations of the types described affecting our service providers and collaboration partners, including contract research organizations running clinical trials and collaboration partners sponsoring clinical trials in which we are supplying our product candidates or otherwise participating.</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trading prices for common stock of other biopharmaceutical companies have been highly volatile as a result of the COVID-19 pandemic. 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diagnose, contain and treat the disease. If we or any of the third parties with whom we engage were to experience shutdowns or other business disruptions, our ability to conduct our business and development activities in the manner and on the timelines presently planned could be materially and negatively impacted. There can be no assurance that any such disruptions or delays will not materially adversely impact our business, results of operations, access to financial resources and our financial condition.</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encounter difficulties enrolling patients in our clinical trials, our clinical development activities could be delayed or otherwise adversely affected.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our research programs resulting from factors related to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or availability of patients to participate in our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which may lead some patients to drop out of trials to avoid these follow-up procedures.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timely enrollment in clinical trials is reliant on clinical trial sites which may be adversely affected by global health matters, including, among other things, pandemics. For example, our clinical trial sites may be located in regions currently being affected by the COVID-19 coronavirus. Some factors from the COVID-19 coronavirus outbreak that we believe may adversely affect enrollment in our trials include:</w:t>
      </w:r>
    </w:p>
    <w:p>
      <w:pPr>
        <w:spacing w:after="0" w:line="184" w:lineRule="exact"/>
        <w:rPr>
          <w:sz w:val="20"/>
          <w:szCs w:val="20"/>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patients who would otherwise be candidates for enrollment in our clinical trials, may become infected with the COVID-19 coronavirus, which may kill some patients and render others too ill to participate, limiting the available pool of participants for our trials;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employee furlough days that delay necessary interactions with local regulators, ethics committees and other important agencies and contractors.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and other factors arising from the COVID-19 coronavirus could worsen in countries that are already afflicted with the virus or could continue to spread to additional countries, each of which may further adversely impact our clinical trials. The global outbreak of the COVID-19 coronavirus continues to evolve and the conduct of our trials may continue to be adversely affected, despite efforts to mitigate this impact.</w:t>
      </w:r>
    </w:p>
    <w:p>
      <w:pPr>
        <w:spacing w:after="0" w:line="18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Strategic transactions, such as acquisitions, partnerships and collaborations, including the EGEN asset acquisition, involve numerous risks, including:</w:t>
      </w:r>
    </w:p>
    <w:p>
      <w:pPr>
        <w:spacing w:after="0" w:line="237" w:lineRule="exact"/>
        <w:rPr>
          <w:sz w:val="20"/>
          <w:szCs w:val="20"/>
          <w:color w:val="auto"/>
        </w:rPr>
      </w:pPr>
    </w:p>
    <w:p>
      <w:pPr>
        <w:ind w:left="5540" w:right="1960" w:hanging="5208"/>
        <w:spacing w:after="0" w:line="527" w:lineRule="auto"/>
        <w:tabs>
          <w:tab w:leader="none" w:pos="9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asset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asset acquisition or potential future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6"/>
          <w:szCs w:val="16"/>
          <w:b w:val="1"/>
          <w:bCs w:val="1"/>
          <w:i w:val="1"/>
          <w:iCs w:val="1"/>
          <w:color w:val="auto"/>
        </w:rPr>
        <w:t>ClinicalTrials.gov</w:t>
      </w:r>
      <w:r>
        <w:rPr>
          <w:rFonts w:ascii="Arial" w:cs="Arial" w:eastAsia="Arial" w:hAnsi="Arial"/>
          <w:sz w:val="16"/>
          <w:szCs w:val="16"/>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right="20"/>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spacing w:after="0" w:line="266" w:lineRule="auto"/>
        <w:rPr>
          <w:sz w:val="20"/>
          <w:szCs w:val="20"/>
          <w:color w:val="auto"/>
        </w:rPr>
      </w:pPr>
      <w:r>
        <w:rPr>
          <w:rFonts w:ascii="Arial" w:cs="Arial" w:eastAsia="Arial" w:hAnsi="Arial"/>
          <w:sz w:val="18"/>
          <w:szCs w:val="18"/>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185" w:lineRule="exact"/>
        <w:rPr>
          <w:sz w:val="20"/>
          <w:szCs w:val="20"/>
          <w:color w:val="auto"/>
        </w:rPr>
      </w:pPr>
    </w:p>
    <w:p>
      <w:pPr>
        <w:jc w:val="both"/>
        <w:ind w:left="660" w:hanging="328"/>
        <w:spacing w:after="0" w:line="25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federal False Claims Act, or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left="328" w:hanging="328"/>
        <w:spacing w:after="0" w:line="289" w:lineRule="auto"/>
        <w:tabs>
          <w:tab w:leader="none" w:pos="3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FCA, and civil monetary penalty laws which prohibit, among other things, individuals or entities from knowingly presenting, or causing to be presented, false, fictious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w:t>
      </w:r>
    </w:p>
    <w:p>
      <w:pPr>
        <w:spacing w:after="0" w:line="166" w:lineRule="exact"/>
        <w:rPr>
          <w:rFonts w:ascii="Arial" w:cs="Arial" w:eastAsia="Arial" w:hAnsi="Arial"/>
          <w:sz w:val="16"/>
          <w:szCs w:val="16"/>
          <w:color w:val="auto"/>
        </w:rPr>
      </w:pPr>
    </w:p>
    <w:p>
      <w:pPr>
        <w:jc w:val="both"/>
        <w:ind w:left="328" w:hanging="328"/>
        <w:spacing w:after="0" w:line="272"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77" w:lineRule="exact"/>
        <w:rPr>
          <w:rFonts w:ascii="Arial" w:cs="Arial" w:eastAsia="Arial" w:hAnsi="Arial"/>
          <w:sz w:val="17"/>
          <w:szCs w:val="17"/>
          <w:color w:val="auto"/>
        </w:rPr>
      </w:pPr>
    </w:p>
    <w:p>
      <w:pPr>
        <w:jc w:val="both"/>
        <w:ind w:left="328" w:hanging="328"/>
        <w:spacing w:after="0" w:line="271"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8" w:lineRule="exact"/>
        <w:rPr>
          <w:rFonts w:ascii="Arial" w:cs="Arial" w:eastAsia="Arial" w:hAnsi="Arial"/>
          <w:sz w:val="17"/>
          <w:szCs w:val="17"/>
          <w:color w:val="auto"/>
        </w:rPr>
      </w:pPr>
    </w:p>
    <w:p>
      <w:pPr>
        <w:jc w:val="both"/>
        <w:ind w:left="328" w:hanging="328"/>
        <w:spacing w:after="0" w:line="293" w:lineRule="auto"/>
        <w:tabs>
          <w:tab w:leader="none" w:pos="3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64"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or (iv) additional record-keeping requirements.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Since January 2017, President Trump has signed two Executive Orders designed to delay the implementation of certain provisions of the ACA or otherwise circumvent some of the requirements for health insurance mandated by the ACA. The first Executive Order, singed on January 20, 2017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signed on October 13, 2017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On December 10, 2019, the U.S. Supreme Court heard arguments in </w:t>
      </w:r>
      <w:r>
        <w:rPr>
          <w:rFonts w:ascii="Arial" w:cs="Arial" w:eastAsia="Arial" w:hAnsi="Arial"/>
          <w:sz w:val="16"/>
          <w:szCs w:val="16"/>
          <w:i w:val="1"/>
          <w:iCs w:val="1"/>
          <w:color w:val="auto"/>
        </w:rPr>
        <w:t>Moda Health Plan, Inc. v. United States.</w:t>
      </w:r>
      <w:r>
        <w:rPr>
          <w:rFonts w:ascii="Arial" w:cs="Arial" w:eastAsia="Arial" w:hAnsi="Arial"/>
          <w:sz w:val="16"/>
          <w:szCs w:val="16"/>
          <w:color w:val="auto"/>
        </w:rPr>
        <w:t xml:space="preserve"> On April 27, 2020, the U.S. Supreme Court held that the ACA requires the federal government to compensate insurers for significant losses their health plans incurred during the first three years of the ACA’s marketplaces, and that insurers can sue for nonpayment in the Court of Federal Claims. The effects of this decision on third-party payors, the viability of the ACA marketplace, providers, and potentially our business, are still uncertain.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On December 14, 2018, a U.S. District Court Judge in the Northern District of Texas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We cannot predict what effect further changes to the ACA would have on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Bipartisan Budget Act of 2018, or BBA, will remain in effect through 2030, unless additional congressional action is taken. The BBA also amended the ACA, effective January 1, 2019, by increasing the point-of-sale discount that is owed by pharmaceutical manufacturers who participate in Medicare Part D and closing the coverage gap in most Medicare drug plans, commonly referred to as the “donut hole”. However, pursuant to the CARES Act, these reductions will be suspended from May 1, 2020 through December 31, 2020 due to the COVID-19 pandemic and extend the reductions by one year, through 2030, in order to offset the added expense of the 2020 suspension.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Several states have adopted price transparency requirements and those as well as any future federal price transparency requirements that may be implemented in the future could have a negative effect on our business.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U.S. government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The Trump administration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solicited feedback on some of these measures and has implemented others under its existing authority. For example, in May 2019, CMS issued a final rule that would allow Medicare Advantage Plans the option of using step therapy, a type of prior authorization,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For example, the Lower Drug Costs Now Act of 2019 was introduced in the House of Representatives on September 19, 2019 and would require HHS to directly negotiate drug prices with manufacturers. The Lower Drugs Costs Now Act of 2019 has passed out of the House and was delivered to the Senate on December 16, 2019. However, it is unclear whether this bill will make it through both chambers and be signed into law, and if enacted, what effect it would have on our business.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and any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impact of the impending “Brexit”, (whereby the United Kingdom is planning to leave the EEA in March of 2019), either with or without a “deal” is uncertain and cannot be predicted at this time.</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event we continue to conduct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Anype1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The reimbursement status of newly approved medical products is subject to significant uncertainty We cannot be sure that coverage and reimbursement will be available for, or accurately estimate the potential revenue from, our product candidates or assure that coverage and reimbursement will be available for any product that we may develop. Further, due to the COVID-19 pandemic, millions of individuals have lost or will be losing employer-based insurance coverage, which may adversely affect our ability to commercialize our product candidates even if there is adequate coverage and reimbursement from third-party payors.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Government authorities and other third-party payors decide which drugs and treatments they will cover and the amount of reimbursement.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Coverage and reimbursement by a third-party payor may depend upon a number of factors, including the third-party payor’s determination that use of a product is:</w:t>
      </w:r>
    </w:p>
    <w:p>
      <w:pPr>
        <w:spacing w:after="0" w:line="17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Government, private health insurers and other third-party payors are increasingly attempting to contain healthcare costs by limiting both coverage and the level of reimbursement for new therapeutic products approved for marketing by the FDA. For example, Congress passed the ACA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price disclosures,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asset acquisition, and on our ability to attract additional personnel as we seek to implement our business strategy and develop our product candidates and businesses. Our operations associated with the EGEN asset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or the third parties upon whom we depend may be adversely affected by earthquakes, global pandemics or other natural disasters and our business continuity and disaster recovery plans may not adequately protect us from a serious disaster, including earthquakes, outbreak of disease or other natural disasters.</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current operations are located in our facilities in Lawrenceville, New Jersey.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January 2020, the World Health Organization declared COVID-19 a global pandemic, and the U.S. Department of Health and Human Services declared a public health emergency to aid the U.S. healthcare community in responding to COVID-19. This virus continues to spread globally and, as of June 2020, has spread to over 100 countries, including the United States. Governments and businesses around the world have taken unprecedented actions to mitigate the spread of COVID-19, including, but not limited to, shelter-in-place orders, quarantines, and significant restrictions on travel, as well as restrictions that prohibit many employees from going to work. An outbreak of communicable diseases in China or elsewhere, or the perception that such an outbreak could occur, and the measures taken by the governments of countries affected, could adversely affect our business, financial condition or results of operations by limiting our ability to manufacture products within or outside China, forcing temporary closure of facilities that we rely upon or increasing the costs associated with obtaining clinical supplies of our product candidates. Please see the risk factor titled “</w:t>
      </w:r>
      <w:r>
        <w:rPr>
          <w:rFonts w:ascii="Arial" w:cs="Arial" w:eastAsia="Arial" w:hAnsi="Arial"/>
          <w:sz w:val="17"/>
          <w:szCs w:val="17"/>
          <w:i w:val="1"/>
          <w:iCs w:val="1"/>
          <w:color w:val="auto"/>
        </w:rPr>
        <w:t>The outbreak</w:t>
      </w:r>
      <w:r>
        <w:rPr>
          <w:rFonts w:ascii="Arial" w:cs="Arial" w:eastAsia="Arial" w:hAnsi="Arial"/>
          <w:sz w:val="17"/>
          <w:szCs w:val="17"/>
          <w:color w:val="auto"/>
        </w:rPr>
        <w:t xml:space="preserve"> </w:t>
      </w:r>
      <w:r>
        <w:rPr>
          <w:rFonts w:ascii="Arial" w:cs="Arial" w:eastAsia="Arial" w:hAnsi="Arial"/>
          <w:sz w:val="17"/>
          <w:szCs w:val="17"/>
          <w:i w:val="1"/>
          <w:iCs w:val="1"/>
          <w:color w:val="auto"/>
        </w:rPr>
        <w:t>of the novel coronavirus disease, COVID-19, could adversely impact our business, including our preclinical studies and clinical trials</w:t>
      </w:r>
      <w:r>
        <w:rPr>
          <w:rFonts w:ascii="Arial" w:cs="Arial" w:eastAsia="Arial" w:hAnsi="Arial"/>
          <w:sz w:val="17"/>
          <w:szCs w:val="17"/>
          <w:color w:val="auto"/>
        </w:rPr>
        <w:t>”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regarding the COVID-19 pandemic.</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1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Pandemics such as the COVID-19 coronavirus could have an adverse impact on our developmental programs and our financial condition.</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a novel strain of the COVID-19 coronavirus was first identified in Wuhan, Hubei Province, China. Any outbreak of contagious diseases, or other adverse public health developments, could have a material and adverse effect on our business operations. These could include disruptions or restrictions on our ability to travel, pursue partnerships and other business transactions, conduct clinical trials, make shipments of biologic materials, as well as be impacted by the temporary closure of the facilities of suppliers and clinical trial sites. Any disruption of suppliers, clinical trial sites or access to patients would likely impact our clinical trial enrollment progress and rates as well as our ability to access capital through the financial markets. The extent to which the COVID-19 coronavirus impacts our business will depend on future developments, which are highly uncertain and cannot be predicted, including new information which may emerge concerning the severity of the COVID-19 coronavirus and the actions to contain the COVID-19 coronavirus or treat its impact, among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$3.48 and a low price of $1.35 in the 52-week period ended December 31, 2018, a high price of $2.47 and a low price of $1.08 in the 52-week period ended December 31, 2019, and a high price of $5.26 and a low price of $0.72 from January 1, 2020 through August 13, 2020. Among the factors that may cause the market price of our common stock to fluctuate are the risks described in this “Risk Factors” section and other factors, including:</w:t>
      </w:r>
    </w:p>
    <w:p>
      <w:pPr>
        <w:spacing w:after="0" w:line="18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acquisitions and financings, including the EGEN asset acquisition;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August 13, 2020, we had 33,232,380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asset acquisition. Our stockholders may experience significant dilution as a result of future equity offerings or issuances. Investors purchasing shares or other securities in the future could have rights superior to existing stockholders. As of August 13, 2020, we have a significant number of securities convertible into, or allowing the purchase of, our common stock, including 3,826,098 shares of common stock issuable upon exercise of warrants outstanding, 4,665,526 options to purchase shares of our common stock and restricted stock awards outstanding, and 1,981,652 shares of common stock reserved for future issuance under our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Changes in tax law could adversely affect our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on March 27, 2020, President Trump signed into law the “Coronavirus Aid, Relief, and Economic Security Act” or the CARES Act, which included certain changes in tax law intended to stimulate the U.S. economy in light of the COVID-19 coronavirus outbreak, including temporary beneficial changes to the treatment of net operating losses, interest deductibility limitations and payroll tax matters.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Net operating losses generated after December 31, 2017 are not subject to expiration, and generally </w:t>
      </w:r>
      <w:r>
        <w:rPr>
          <w:rFonts w:ascii="Arial" w:cs="Arial" w:eastAsia="Arial" w:hAnsi="Arial"/>
          <w:sz w:val="16"/>
          <w:szCs w:val="16"/>
          <w:color w:val="auto"/>
          <w:strike w:val="1"/>
        </w:rPr>
        <w:t>but</w:t>
      </w:r>
      <w:r>
        <w:rPr>
          <w:rFonts w:ascii="Arial" w:cs="Arial" w:eastAsia="Arial" w:hAnsi="Arial"/>
          <w:sz w:val="16"/>
          <w:szCs w:val="16"/>
          <w:color w:val="auto"/>
        </w:rPr>
        <w:t xml:space="preserve"> may not be carried back to prior taxable years except that, under the CARES Act, net operating losses generated in 2018, 2019 and 2020 may be carried back five taxable years. Additionally, for taxable years beginning after December 31, 2020, the deductibility of such federal net operating losses is limited to 80% of our taxable income in any future taxable year.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2018, 2017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and 2018.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71">
        <w:r>
          <w:rPr>
            <w:rFonts w:ascii="Arial" w:cs="Arial" w:eastAsia="Arial" w:hAnsi="Arial"/>
            <w:sz w:val="16"/>
            <w:szCs w:val="16"/>
            <w:u w:val="single" w:color="auto"/>
            <w:color w:val="0000EE"/>
          </w:rPr>
          <w:t>Amended and Restated By-Laws of the Company, dated June 16, 2020.</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73">
        <w:r>
          <w:rPr>
            <w:rFonts w:ascii="Arial" w:cs="Arial" w:eastAsia="Arial" w:hAnsi="Arial"/>
            <w:sz w:val="16"/>
            <w:szCs w:val="16"/>
            <w:u w:val="single" w:color="auto"/>
            <w:color w:val="0000EE"/>
          </w:rPr>
          <w:t>Promissory Note of the Company, dated May 26, 2020, payable to Silicon Valley Bank.</w:t>
        </w:r>
      </w:hyperlink>
    </w:p>
    <w:p>
      <w:pPr>
        <w:spacing w:after="0" w:line="225" w:lineRule="exact"/>
        <w:rPr>
          <w:sz w:val="20"/>
          <w:szCs w:val="20"/>
          <w:color w:val="auto"/>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77">
        <w:r>
          <w:rPr>
            <w:rFonts w:ascii="Arial" w:cs="Arial" w:eastAsia="Arial" w:hAnsi="Arial"/>
            <w:sz w:val="18"/>
            <w:szCs w:val="18"/>
            <w:u w:val="single" w:color="auto"/>
            <w:color w:val="0000EE"/>
          </w:rPr>
          <w:t>First Amendment to the Celsion Corporation 2018 Stock Incentive Plan, incorporated herein by reference to Exhibit 10.1 to the Current Report</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on Form 8-K of the Company, filed on May 15, 2020.</w:t>
        </w:r>
      </w:hyperlink>
    </w:p>
    <w:p>
      <w:pPr>
        <w:spacing w:after="0" w:line="170" w:lineRule="exact"/>
        <w:rPr>
          <w:sz w:val="20"/>
          <w:szCs w:val="20"/>
          <w:color w:val="auto"/>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78">
        <w:r>
          <w:rPr>
            <w:rFonts w:ascii="Arial" w:cs="Arial" w:eastAsia="Arial" w:hAnsi="Arial"/>
            <w:sz w:val="18"/>
            <w:szCs w:val="18"/>
            <w:u w:val="single" w:color="auto"/>
            <w:color w:val="0000EE"/>
          </w:rPr>
          <w:t>Second Amendment to the Celsion Corporation 2018 Stock Incentive Plan, incorporated by reference to the Current Report on Form 8-K of the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Company, filed on June 16, 2020.</w:t>
        </w:r>
      </w:hyperlink>
    </w:p>
    <w:p>
      <w:pPr>
        <w:spacing w:after="0" w:line="170" w:lineRule="exact"/>
        <w:rPr>
          <w:sz w:val="20"/>
          <w:szCs w:val="20"/>
          <w:color w:val="auto"/>
        </w:rPr>
      </w:pPr>
    </w:p>
    <w:p>
      <w:pPr>
        <w:jc w:val="both"/>
        <w:ind w:left="780" w:hanging="768"/>
        <w:spacing w:after="0" w:line="259"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79">
        <w:r>
          <w:rPr>
            <w:rFonts w:ascii="Arial" w:cs="Arial" w:eastAsia="Arial" w:hAnsi="Arial"/>
            <w:sz w:val="18"/>
            <w:szCs w:val="18"/>
            <w:u w:val="single" w:color="auto"/>
            <w:color w:val="0000EE"/>
          </w:rPr>
          <w:t xml:space="preserve">Settlement Agreement and Release, by and between the plaintiff to the shareholder action captioned </w:t>
        </w:r>
        <w:r>
          <w:rPr>
            <w:rFonts w:ascii="Arial" w:cs="Arial" w:eastAsia="Arial" w:hAnsi="Arial"/>
            <w:sz w:val="18"/>
            <w:szCs w:val="18"/>
            <w:i w:val="1"/>
            <w:iCs w:val="1"/>
            <w:u w:val="single" w:color="auto"/>
            <w:color w:val="0000EE"/>
          </w:rPr>
          <w:t>O’Connor v. Braun</w:t>
        </w:r>
        <w:r>
          <w:rPr>
            <w:rFonts w:ascii="Arial" w:cs="Arial" w:eastAsia="Arial" w:hAnsi="Arial"/>
            <w:sz w:val="18"/>
            <w:szCs w:val="18"/>
            <w:u w:val="single" w:color="auto"/>
            <w:color w:val="0000EE"/>
          </w:rPr>
          <w:t>, et al., N.J. Super., Dkt.</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No. MERC-00068-19, William J. O’Connor, derivatively on behalf of Celsion Corporation and individually on behalf of himself and all other</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similarly situated stockholders of Celsion Corporation and defendants, incorporated herein by reference to Exhibit 10.2 to the Current Report on</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Form 8-K of the Company, filed on June 16, 2020.</w:t>
        </w:r>
      </w:hyperlink>
    </w:p>
    <w:p>
      <w:pPr>
        <w:spacing w:after="0" w:line="187" w:lineRule="exact"/>
        <w:rPr>
          <w:rFonts w:ascii="Arial" w:cs="Arial" w:eastAsia="Arial" w:hAnsi="Arial"/>
          <w:sz w:val="18"/>
          <w:szCs w:val="18"/>
          <w:u w:val="single" w:color="auto"/>
          <w:color w:val="0000EE"/>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80">
        <w:r>
          <w:rPr>
            <w:rFonts w:ascii="Arial" w:cs="Arial" w:eastAsia="Arial" w:hAnsi="Arial"/>
            <w:sz w:val="18"/>
            <w:szCs w:val="18"/>
            <w:u w:val="single" w:color="auto"/>
            <w:color w:val="0000EE"/>
          </w:rPr>
          <w:t>Underwriting Agreement, dated as of June 22, 2020, by and between Celsion Corporation and Oppenheimer &amp; Co. Inc., incorporated herein by</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reference to Exhibit 1.1 to the Current Report on Form 8-K of the Company, filed on June 22, 2020.</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8">
        <w:r>
          <w:rPr>
            <w:rFonts w:ascii="Arial" w:cs="Arial" w:eastAsia="Arial" w:hAnsi="Arial"/>
            <w:sz w:val="16"/>
            <w:szCs w:val="16"/>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9">
        <w:r>
          <w:rPr>
            <w:rFonts w:ascii="Arial" w:cs="Arial" w:eastAsia="Arial" w:hAnsi="Arial"/>
            <w:sz w:val="16"/>
            <w:szCs w:val="16"/>
            <w:u w:val="single" w:color="auto"/>
            <w:color w:val="0000EE"/>
          </w:rPr>
          <w:t>Certification of Chief Financial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80">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780" w:hanging="772"/>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80" w:hanging="779"/>
        <w:spacing w:after="0" w:line="301"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June 30, 2020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57" w:lineRule="exact"/>
        <w:rPr>
          <w:sz w:val="20"/>
          <w:szCs w:val="20"/>
          <w:color w:val="auto"/>
        </w:rPr>
      </w:pPr>
    </w:p>
    <w:p>
      <w:pPr>
        <w:jc w:val="both"/>
        <w:ind w:left="780" w:hanging="772"/>
        <w:spacing w:after="0" w:line="25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772"/>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14, 2020</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RESOLUTIONS TO BE ADOPTED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Amendment to the Amended and Restated By-Laws</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article X of the Amended and Restated By-laws of the Company (the “By-laws”), the By-laws may be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repealed by the Board of Directors by the affirmative vote of a majority of the directors then in office.</w:t>
      </w:r>
    </w:p>
    <w:p>
      <w:pPr>
        <w:spacing w:after="0" w:line="16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deems it advisable and in the best interests of the stockholders of the Company to approve, ratify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 the adoption of an Amendment to the Amended and Restated By-laws substantially in the form attached hereto as Exhibit A (the “Amendment”) to designate the United States District court for the District of New Jersey as the exclusive jurisdiction for any litigation arising under the Securities Act of 1933, as amended.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adoption of the Amendment be, and hereby is, approved, confirmed and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of the Amended and Restated By-laws of the Corporation (the “By-laws”), is hereby amended by adding a new section 9.8 to read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8</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Exclusive Jurisdiction of Delaware Courts or the United States District Court for the District of New Jersey</w:t>
      </w:r>
      <w:r>
        <w:rPr>
          <w:rFonts w:ascii="Arial" w:cs="Arial" w:eastAsia="Arial" w:hAnsi="Arial"/>
          <w:sz w:val="17"/>
          <w:szCs w:val="17"/>
          <w:color w:val="auto"/>
        </w:rPr>
        <w:t>. Unless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“Delaware Forum Provision”). The Delaware Forum Provision shall not apply to any claims arising under the Exchange Act or the Securities Act of 1933, as amended (the “Securities Act”). In addition, unless the Corporation consents in writing to the selection of an alternative forum, the United States District Court for the District of New Jersey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Section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2" w:name="page73"/>
    <w:bookmarkEnd w:id="72"/>
    <w:p>
      <w:pPr>
        <w:ind w:left="90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7278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727837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635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663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3291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7329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303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7303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36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636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14,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14,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2020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14,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14,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lvl w:ilvl="1">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77" Type="http://schemas.openxmlformats.org/officeDocument/2006/relationships/hyperlink" Target="https://www.sec.gov/Archives/edgar/data/749647/000149315219007203/ex10-1.htm" TargetMode="External"/><Relationship Id="rId78" Type="http://schemas.openxmlformats.org/officeDocument/2006/relationships/hyperlink" Target="https://www.sec.gov/Archives/edgar/data/749647/000149315220011263/ex10-1.htm" TargetMode="External"/><Relationship Id="rId79" Type="http://schemas.openxmlformats.org/officeDocument/2006/relationships/hyperlink" Target="https://www.sec.gov/Archives/edgar/data/749647/000149315220011263/ex10-2.htm" TargetMode="External"/><Relationship Id="rId80" Type="http://schemas.openxmlformats.org/officeDocument/2006/relationships/hyperlink" Target="https://www.sec.gov/Archives/edgar/data/749647/000149315220011606/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2020-08-14T07:47:27Z</dcterms:created>
  <dcterms:modified xsi:type="dcterms:W3CDTF">2020-08-14T07:47:27Z</dcterms:modified>
</cp:coreProperties>
</file>