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880" w:right="2040" w:hanging="3548"/>
        <w:spacing w:after="0" w:line="500" w:lineRule="auto"/>
        <w:tabs>
          <w:tab w:leader="none" w:pos="713"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020" w:hanging="3088"/>
        <w:spacing w:after="0" w:line="500" w:lineRule="auto"/>
        <w:tabs>
          <w:tab w:leader="none" w:pos="47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 to ____________</w:t>
      </w:r>
    </w:p>
    <w:p>
      <w:pPr>
        <w:ind w:left="4380"/>
        <w:spacing w:after="0"/>
        <w:rPr>
          <w:rFonts w:ascii="Arial" w:cs="Arial" w:eastAsia="Arial" w:hAnsi="Arial"/>
          <w:sz w:val="18"/>
          <w:szCs w:val="18"/>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8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Delaware</w:t>
            </w:r>
          </w:p>
        </w:tc>
        <w:tc>
          <w:tcPr>
            <w:tcW w:w="7340" w:type="dxa"/>
            <w:vAlign w:val="bottom"/>
            <w:gridSpan w:val="3"/>
          </w:tcPr>
          <w:p>
            <w:pPr>
              <w:jc w:val="center"/>
              <w:ind w:left="1670"/>
              <w:spacing w:after="0"/>
              <w:rPr>
                <w:sz w:val="20"/>
                <w:szCs w:val="20"/>
                <w:color w:val="auto"/>
              </w:rPr>
            </w:pPr>
            <w:r>
              <w:rPr>
                <w:rFonts w:ascii="Arial" w:cs="Arial" w:eastAsia="Arial" w:hAnsi="Arial"/>
                <w:sz w:val="18"/>
                <w:szCs w:val="18"/>
                <w:b w:val="1"/>
                <w:bCs w:val="1"/>
                <w:color w:val="auto"/>
                <w:w w:val="89"/>
              </w:rPr>
              <w:t>52-1256615</w:t>
            </w:r>
          </w:p>
        </w:tc>
      </w:tr>
      <w:tr>
        <w:trPr>
          <w:trHeight w:val="201"/>
        </w:trPr>
        <w:tc>
          <w:tcPr>
            <w:tcW w:w="4080" w:type="dxa"/>
            <w:vAlign w:val="bottom"/>
            <w:tcBorders>
              <w:top w:val="single" w:sz="8" w:color="auto"/>
            </w:tcBorders>
          </w:tcPr>
          <w:p>
            <w:pPr>
              <w:jc w:val="center"/>
              <w:ind w:left="14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left="1430"/>
              <w:spacing w:after="0"/>
              <w:rPr>
                <w:sz w:val="20"/>
                <w:szCs w:val="20"/>
                <w:color w:val="auto"/>
              </w:rPr>
            </w:pPr>
            <w:r>
              <w:rPr>
                <w:rFonts w:ascii="Arial" w:cs="Arial" w:eastAsia="Arial" w:hAnsi="Arial"/>
                <w:sz w:val="18"/>
                <w:szCs w:val="18"/>
                <w:color w:val="auto"/>
                <w:w w:val="92"/>
              </w:rPr>
              <w:t>incorporation or organization)</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3"/>
        </w:trPr>
        <w:tc>
          <w:tcPr>
            <w:tcW w:w="4080" w:type="dxa"/>
            <w:vAlign w:val="bottom"/>
          </w:tcPr>
          <w:p>
            <w:pPr>
              <w:spacing w:after="0"/>
              <w:rPr>
                <w:sz w:val="24"/>
                <w:szCs w:val="24"/>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b w:val="1"/>
                <w:bCs w:val="1"/>
                <w:color w:val="auto"/>
                <w:w w:val="90"/>
              </w:rPr>
              <w:t>997 Lenox Drive, Suite 100,</w:t>
            </w:r>
          </w:p>
        </w:tc>
      </w:tr>
      <w:tr>
        <w:trPr>
          <w:trHeight w:val="220"/>
        </w:trPr>
        <w:tc>
          <w:tcPr>
            <w:tcW w:w="4080" w:type="dxa"/>
            <w:vAlign w:val="bottom"/>
          </w:tcPr>
          <w:p>
            <w:pPr>
              <w:spacing w:after="0"/>
              <w:rPr>
                <w:sz w:val="19"/>
                <w:szCs w:val="19"/>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80" w:type="dxa"/>
            <w:vAlign w:val="bottom"/>
          </w:tcPr>
          <w:p>
            <w:pPr>
              <w:spacing w:after="0"/>
              <w:rPr>
                <w:sz w:val="20"/>
                <w:szCs w:val="20"/>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0"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6" w:right="239" w:bottom="1440" w:gutter="0" w:footer="0" w:header="0"/>
        </w:sectPr>
      </w:pPr>
    </w:p>
    <w:p>
      <w:pPr>
        <w:spacing w:after="0" w:line="183" w:lineRule="exact"/>
        <w:rPr>
          <w:sz w:val="24"/>
          <w:szCs w:val="24"/>
          <w:color w:val="auto"/>
        </w:rPr>
      </w:pPr>
    </w:p>
    <w:p>
      <w:pPr>
        <w:ind w:left="140"/>
        <w:spacing w:after="0"/>
        <w:rPr>
          <w:sz w:val="20"/>
          <w:szCs w:val="20"/>
          <w:color w:val="auto"/>
        </w:rPr>
      </w:pPr>
      <w:r>
        <w:rPr>
          <w:rFonts w:ascii="Arial" w:cs="Arial" w:eastAsia="Arial" w:hAnsi="Arial"/>
          <w:sz w:val="16"/>
          <w:szCs w:val="16"/>
          <w:color w:val="auto"/>
        </w:rPr>
        <w:t>Large accelerated filer [ ]</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7420" w:space="720"/>
            <w:col w:w="3280"/>
          </w:cols>
          <w:pgMar w:left="240" w:top="746" w:right="239" w:bottom="1440" w:gutter="0" w:footer="0" w:header="0"/>
          <w:type w:val="continuous"/>
        </w:sectPr>
      </w:pPr>
    </w:p>
    <w:p>
      <w:pPr>
        <w:spacing w:after="0" w:line="36" w:lineRule="exact"/>
        <w:rPr>
          <w:sz w:val="24"/>
          <w:szCs w:val="24"/>
          <w:color w:val="auto"/>
        </w:rPr>
      </w:pPr>
    </w:p>
    <w:p>
      <w:pPr>
        <w:ind w:left="140"/>
        <w:spacing w:after="0"/>
        <w:rPr>
          <w:sz w:val="20"/>
          <w:szCs w:val="20"/>
          <w:color w:val="auto"/>
        </w:rPr>
      </w:pPr>
      <w:r>
        <w:rPr>
          <w:rFonts w:ascii="Arial" w:cs="Arial" w:eastAsia="Arial" w:hAnsi="Arial"/>
          <w:sz w:val="17"/>
          <w:szCs w:val="17"/>
          <w:color w:val="auto"/>
        </w:rPr>
        <w:t>Non-accelerated filer [ ]</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11" w:lineRule="exact"/>
        <w:rPr>
          <w:sz w:val="24"/>
          <w:szCs w:val="24"/>
          <w:color w:val="auto"/>
        </w:rPr>
      </w:pPr>
    </w:p>
    <w:p>
      <w:pPr>
        <w:sectPr>
          <w:pgSz w:w="11900" w:h="16838" w:orient="portrait"/>
          <w:cols w:equalWidth="0" w:num="2">
            <w:col w:w="7420" w:space="720"/>
            <w:col w:w="3280"/>
          </w:cols>
          <w:pgMar w:left="240" w:top="746" w:right="239" w:bottom="1440" w:gutter="0" w:footer="0" w:header="0"/>
          <w:type w:val="continuous"/>
        </w:sectPr>
      </w:pPr>
    </w:p>
    <w:p>
      <w:pPr>
        <w:spacing w:after="0" w:line="36" w:lineRule="exact"/>
        <w:rPr>
          <w:sz w:val="24"/>
          <w:szCs w:val="24"/>
          <w:color w:val="auto"/>
        </w:rPr>
      </w:pPr>
    </w:p>
    <w:p>
      <w:pPr>
        <w:ind w:left="140"/>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6" w:right="239" w:bottom="1440" w:gutter="0" w:footer="0" w:header="0"/>
          <w:type w:val="continuous"/>
        </w:sectPr>
      </w:pPr>
    </w:p>
    <w:p>
      <w:pPr>
        <w:spacing w:after="0" w:line="23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13, 2018, the Registrant had 18,731,834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20" w:type="dxa"/>
            <w:vAlign w:val="bottom"/>
            <w:gridSpan w:val="6"/>
          </w:tcPr>
          <w:p>
            <w:pPr>
              <w:jc w:val="center"/>
              <w:ind w:right="3720"/>
              <w:spacing w:after="0"/>
              <w:rPr>
                <w:sz w:val="20"/>
                <w:szCs w:val="20"/>
                <w:color w:val="auto"/>
              </w:rPr>
            </w:pPr>
            <w:r>
              <w:rPr>
                <w:rFonts w:ascii="Arial" w:cs="Arial" w:eastAsia="Arial" w:hAnsi="Arial"/>
                <w:sz w:val="18"/>
                <w:szCs w:val="18"/>
                <w:b w:val="1"/>
                <w:bCs w:val="1"/>
                <w:color w:val="auto"/>
              </w:rPr>
              <w:t>CELSION CORPORATION</w:t>
            </w:r>
          </w:p>
        </w:tc>
        <w:tc>
          <w:tcPr>
            <w:tcW w:w="6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20" w:type="dxa"/>
            <w:vAlign w:val="bottom"/>
            <w:gridSpan w:val="6"/>
          </w:tcPr>
          <w:p>
            <w:pPr>
              <w:jc w:val="center"/>
              <w:ind w:right="372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4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gridSpan w:val="6"/>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59"/>
        </w:trPr>
        <w:tc>
          <w:tcPr>
            <w:tcW w:w="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r>
      <w:tr>
        <w:trPr>
          <w:trHeight w:val="189"/>
        </w:trPr>
        <w:tc>
          <w:tcPr>
            <w:tcW w:w="10780" w:type="dxa"/>
            <w:vAlign w:val="bottom"/>
            <w:gridSpan w:val="20"/>
            <w:shd w:val="clear" w:color="auto" w:fill="CCEEFF"/>
          </w:tcPr>
          <w:p>
            <w:pPr>
              <w:spacing w:after="0" w:line="15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40" w:type="dxa"/>
            <w:vAlign w:val="bottom"/>
            <w:shd w:val="clear" w:color="auto" w:fill="CCEEFF"/>
          </w:tcPr>
          <w:p>
            <w:pPr>
              <w:spacing w:after="0"/>
              <w:rPr>
                <w:sz w:val="16"/>
                <w:szCs w:val="16"/>
                <w:color w:val="auto"/>
              </w:rPr>
            </w:pPr>
          </w:p>
        </w:tc>
      </w:tr>
      <w:tr>
        <w:trPr>
          <w:trHeight w:val="216"/>
        </w:trPr>
        <w:tc>
          <w:tcPr>
            <w:tcW w:w="660" w:type="dxa"/>
            <w:vAlign w:val="bottom"/>
            <w:tcBorders>
              <w:top w:val="single" w:sz="8" w:color="0000EE"/>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10780" w:type="dxa"/>
            <w:vAlign w:val="bottom"/>
            <w:gridSpan w:val="20"/>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  </w:t>
            </w:r>
            <w:hyperlink w:anchor="page4">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1-24</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rPr>
                <w:sz w:val="15"/>
                <w:szCs w:val="15"/>
                <w:color w:val="auto"/>
              </w:rPr>
            </w:pPr>
          </w:p>
        </w:tc>
        <w:tc>
          <w:tcPr>
            <w:tcW w:w="10200" w:type="dxa"/>
            <w:vAlign w:val="bottom"/>
            <w:gridSpan w:val="19"/>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rPr>
                <w:sz w:val="15"/>
                <w:szCs w:val="15"/>
                <w:color w:val="auto"/>
              </w:rPr>
            </w:pPr>
          </w:p>
        </w:tc>
        <w:tc>
          <w:tcPr>
            <w:tcW w:w="1020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rPr>
                <w:sz w:val="15"/>
                <w:szCs w:val="15"/>
                <w:color w:val="auto"/>
              </w:rPr>
            </w:pPr>
          </w:p>
        </w:tc>
        <w:tc>
          <w:tcPr>
            <w:tcW w:w="10200" w:type="dxa"/>
            <w:vAlign w:val="bottom"/>
            <w:gridSpan w:val="19"/>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Loss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rPr>
                <w:sz w:val="15"/>
                <w:szCs w:val="15"/>
                <w:color w:val="auto"/>
              </w:rPr>
            </w:pPr>
          </w:p>
        </w:tc>
        <w:tc>
          <w:tcPr>
            <w:tcW w:w="1020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rPr>
                <w:sz w:val="15"/>
                <w:szCs w:val="15"/>
                <w:color w:val="auto"/>
              </w:rPr>
            </w:pPr>
          </w:p>
        </w:tc>
        <w:tc>
          <w:tcPr>
            <w:tcW w:w="10200" w:type="dxa"/>
            <w:vAlign w:val="bottom"/>
            <w:gridSpan w:val="19"/>
          </w:tcPr>
          <w:p>
            <w:pPr>
              <w:ind w:left="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780" w:type="dxa"/>
            <w:vAlign w:val="bottom"/>
            <w:gridSpan w:val="20"/>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28">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780" w:type="dxa"/>
            <w:vAlign w:val="bottom"/>
            <w:gridSpan w:val="20"/>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42">
              <w:r>
                <w:rPr>
                  <w:rFonts w:ascii="Arial" w:cs="Arial" w:eastAsia="Arial" w:hAnsi="Arial"/>
                  <w:sz w:val="18"/>
                  <w:szCs w:val="18"/>
                  <w:color w:val="0000EE"/>
                </w:rPr>
                <w:t>Quantitative and Qualitative Disclosures about Market Risk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780" w:type="dxa"/>
            <w:vAlign w:val="bottom"/>
            <w:gridSpan w:val="20"/>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42">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780" w:type="dxa"/>
            <w:vAlign w:val="bottom"/>
            <w:gridSpan w:val="20"/>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640" w:type="dxa"/>
            <w:vAlign w:val="bottom"/>
          </w:tcPr>
          <w:p>
            <w:pPr>
              <w:spacing w:after="0"/>
              <w:rPr>
                <w:sz w:val="15"/>
                <w:szCs w:val="15"/>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5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0200" w:type="dxa"/>
            <w:vAlign w:val="bottom"/>
            <w:gridSpan w:val="19"/>
          </w:tcPr>
          <w:p>
            <w:pPr>
              <w:ind w:lef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780" w:type="dxa"/>
            <w:vAlign w:val="bottom"/>
            <w:gridSpan w:val="20"/>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Item 1A.</w:t>
            </w:r>
            <w:hyperlink w:anchor="page43">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780" w:type="dxa"/>
            <w:vAlign w:val="bottom"/>
            <w:gridSpan w:val="20"/>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58">
              <w:r>
                <w:rPr>
                  <w:rFonts w:ascii="Arial" w:cs="Arial" w:eastAsia="Arial" w:hAnsi="Arial"/>
                  <w:sz w:val="18"/>
                  <w:szCs w:val="18"/>
                  <w:color w:val="0000EE"/>
                </w:rPr>
                <w:t>Unregistered Sales of Equity Securities and 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780" w:type="dxa"/>
            <w:vAlign w:val="bottom"/>
            <w:gridSpan w:val="20"/>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58">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780" w:type="dxa"/>
            <w:vAlign w:val="bottom"/>
            <w:gridSpan w:val="20"/>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58">
              <w:r>
                <w:rPr>
                  <w:rFonts w:ascii="Arial" w:cs="Arial" w:eastAsia="Arial" w:hAnsi="Arial"/>
                  <w:sz w:val="18"/>
                  <w:szCs w:val="18"/>
                  <w:color w:val="0000EE"/>
                </w:rPr>
                <w:t>Mine Safety Disclosures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020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10200" w:type="dxa"/>
            <w:vAlign w:val="bottom"/>
            <w:gridSpan w:val="19"/>
          </w:tcPr>
          <w:p>
            <w:pPr>
              <w:ind w:left="8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175"/>
        </w:trPr>
        <w:tc>
          <w:tcPr>
            <w:tcW w:w="10780" w:type="dxa"/>
            <w:vAlign w:val="bottom"/>
            <w:gridSpan w:val="20"/>
          </w:tcPr>
          <w:p>
            <w:pPr>
              <w:spacing w:after="0" w:line="17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SIGNATURES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rPr>
              <w:t>PART I: FINANCIAL INFORMATION</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20" w:type="dxa"/>
            <w:vAlign w:val="bottom"/>
          </w:tcPr>
          <w:p>
            <w:pPr>
              <w:spacing w:after="0"/>
              <w:rPr>
                <w:sz w:val="24"/>
                <w:szCs w:val="24"/>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rPr>
              <w:t>CELSION CORPORATION</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4120" w:type="dxa"/>
            <w:vAlign w:val="bottom"/>
          </w:tcPr>
          <w:p>
            <w:pPr>
              <w:spacing w:after="0"/>
              <w:rPr>
                <w:sz w:val="24"/>
                <w:szCs w:val="24"/>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CONDENSED CONSOLIDATED</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20" w:type="dxa"/>
            <w:vAlign w:val="bottom"/>
          </w:tcPr>
          <w:p>
            <w:pPr>
              <w:spacing w:after="0"/>
              <w:rPr>
                <w:sz w:val="20"/>
                <w:szCs w:val="20"/>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BALANCE SHEETS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40" w:type="dxa"/>
            <w:vAlign w:val="bottom"/>
            <w:gridSpan w:val="3"/>
          </w:tcPr>
          <w:p>
            <w:pPr>
              <w:ind w:left="340"/>
              <w:spacing w:after="0"/>
              <w:rPr>
                <w:sz w:val="20"/>
                <w:szCs w:val="20"/>
                <w:color w:val="auto"/>
              </w:rPr>
            </w:pPr>
            <w:r>
              <w:rPr>
                <w:rFonts w:ascii="Arial" w:cs="Arial" w:eastAsia="Arial" w:hAnsi="Arial"/>
                <w:sz w:val="18"/>
                <w:szCs w:val="18"/>
                <w:b w:val="1"/>
                <w:bCs w:val="1"/>
                <w:color w:val="auto"/>
              </w:rPr>
              <w:t>September 30, 2018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2017</w:t>
            </w:r>
          </w:p>
        </w:tc>
      </w:tr>
      <w:tr>
        <w:trPr>
          <w:trHeight w:val="216"/>
        </w:trPr>
        <w:tc>
          <w:tcPr>
            <w:tcW w:w="4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3,371,303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11,444,055</w:t>
            </w: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Investment securities - available for sale, at fair value</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18,579,731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12,724,020</w:t>
            </w:r>
          </w:p>
        </w:tc>
      </w:tr>
      <w:tr>
        <w:trPr>
          <w:trHeight w:val="237"/>
        </w:trPr>
        <w:tc>
          <w:tcPr>
            <w:tcW w:w="4120" w:type="dxa"/>
            <w:vAlign w:val="bottom"/>
          </w:tcPr>
          <w:p>
            <w:pPr>
              <w:ind w:left="200"/>
              <w:spacing w:after="0"/>
              <w:rPr>
                <w:sz w:val="20"/>
                <w:szCs w:val="20"/>
                <w:color w:val="auto"/>
              </w:rPr>
            </w:pPr>
            <w:r>
              <w:rPr>
                <w:rFonts w:ascii="Arial" w:cs="Arial" w:eastAsia="Arial" w:hAnsi="Arial"/>
                <w:sz w:val="18"/>
                <w:szCs w:val="18"/>
                <w:color w:val="auto"/>
                <w:w w:val="93"/>
              </w:rPr>
              <w:t>Accrued interest receivable on investment securities</w:t>
            </w:r>
          </w:p>
        </w:tc>
        <w:tc>
          <w:tcPr>
            <w:tcW w:w="2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76,746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54,440</w:t>
            </w:r>
          </w:p>
        </w:tc>
      </w:tr>
      <w:tr>
        <w:trPr>
          <w:trHeight w:val="243"/>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deposits and other current assets</w:t>
            </w:r>
          </w:p>
        </w:tc>
        <w:tc>
          <w:tcPr>
            <w:tcW w:w="25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224,614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89,186</w:t>
            </w:r>
          </w:p>
        </w:tc>
      </w:tr>
      <w:tr>
        <w:trPr>
          <w:trHeight w:val="216"/>
        </w:trPr>
        <w:tc>
          <w:tcPr>
            <w:tcW w:w="41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Subtotal current assets</w:t>
            </w:r>
          </w:p>
        </w:tc>
        <w:tc>
          <w:tcPr>
            <w:tcW w:w="2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22,252,394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24,311,701</w:t>
            </w:r>
          </w:p>
        </w:tc>
      </w:tr>
      <w:tr>
        <w:trPr>
          <w:trHeight w:val="216"/>
        </w:trPr>
        <w:tc>
          <w:tcPr>
            <w:tcW w:w="41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7"/>
        </w:trPr>
        <w:tc>
          <w:tcPr>
            <w:tcW w:w="7300" w:type="dxa"/>
            <w:vAlign w:val="bottom"/>
            <w:gridSpan w:val="3"/>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Property and equipment (at cost, less accumulated depreciation and amortization</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 $2,929,742 and $2,838,716, respectively)</w:t>
            </w:r>
          </w:p>
        </w:tc>
        <w:tc>
          <w:tcPr>
            <w:tcW w:w="25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166,523</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175,771</w:t>
            </w:r>
          </w:p>
        </w:tc>
      </w:tr>
      <w:tr>
        <w:trPr>
          <w:trHeight w:val="216"/>
        </w:trPr>
        <w:tc>
          <w:tcPr>
            <w:tcW w:w="41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15,736,491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20,246,491</w:t>
            </w: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net</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625,121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795,608</w:t>
            </w: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1,976,101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r>
      <w:tr>
        <w:trPr>
          <w:trHeight w:val="23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Patent licensing fees, deposits and other assets, net</w:t>
            </w:r>
          </w:p>
        </w:tc>
        <w:tc>
          <w:tcPr>
            <w:tcW w:w="2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155,324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w:t>
            </w:r>
          </w:p>
        </w:tc>
      </w:tr>
      <w:tr>
        <w:trPr>
          <w:trHeight w:val="216"/>
        </w:trPr>
        <w:tc>
          <w:tcPr>
            <w:tcW w:w="41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Subtotal other assets</w:t>
            </w:r>
          </w:p>
        </w:tc>
        <w:tc>
          <w:tcPr>
            <w:tcW w:w="2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18,493,037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23,026,961</w:t>
            </w:r>
          </w:p>
        </w:tc>
      </w:tr>
      <w:tr>
        <w:trPr>
          <w:trHeight w:val="216"/>
        </w:trPr>
        <w:tc>
          <w:tcPr>
            <w:tcW w:w="41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40,911,954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47,514,433</w:t>
            </w:r>
          </w:p>
        </w:tc>
      </w:tr>
      <w:tr>
        <w:trPr>
          <w:trHeight w:val="20"/>
        </w:trPr>
        <w:tc>
          <w:tcPr>
            <w:tcW w:w="6640" w:type="dxa"/>
            <w:vAlign w:val="bottom"/>
            <w:tcBorders>
              <w:top w:val="single" w:sz="8" w:color="CCEEFF"/>
            </w:tcBorders>
            <w:gridSpan w:val="2"/>
          </w:tcPr>
          <w:p>
            <w:pPr>
              <w:spacing w:after="0" w:line="20" w:lineRule="exact"/>
              <w:rPr>
                <w:sz w:val="1"/>
                <w:szCs w:val="1"/>
                <w:color w:val="auto"/>
              </w:rPr>
            </w:pPr>
          </w:p>
        </w:tc>
        <w:tc>
          <w:tcPr>
            <w:tcW w:w="2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8980" w:type="dxa"/>
            <w:vAlign w:val="bottom"/>
            <w:gridSpan w:val="5"/>
          </w:tcPr>
          <w:p>
            <w:pPr>
              <w:jc w:val="center"/>
              <w:ind w:left="23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79"/>
              </w:rPr>
              <w:t>1</w:t>
            </w:r>
          </w:p>
        </w:tc>
        <w:tc>
          <w:tcPr>
            <w:tcW w:w="6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3"/>
          </w:tcPr>
          <w:p>
            <w:pPr>
              <w:jc w:val="center"/>
              <w:ind w:left="4430"/>
              <w:spacing w:after="0"/>
              <w:rPr>
                <w:sz w:val="20"/>
                <w:szCs w:val="20"/>
                <w:color w:val="auto"/>
              </w:rPr>
            </w:pPr>
            <w:r>
              <w:rPr>
                <w:rFonts w:ascii="Arial" w:cs="Arial" w:eastAsia="Arial" w:hAnsi="Arial"/>
                <w:sz w:val="18"/>
                <w:szCs w:val="18"/>
                <w:b w:val="1"/>
                <w:bCs w:val="1"/>
                <w:color w:val="auto"/>
              </w:rPr>
              <w:t>CELSION CORPORATION</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9020" w:type="dxa"/>
            <w:vAlign w:val="bottom"/>
            <w:gridSpan w:val="5"/>
          </w:tcPr>
          <w:p>
            <w:pPr>
              <w:jc w:val="center"/>
              <w:ind w:left="2310"/>
              <w:spacing w:after="0"/>
              <w:rPr>
                <w:sz w:val="20"/>
                <w:szCs w:val="20"/>
                <w:color w:val="auto"/>
              </w:rPr>
            </w:pPr>
            <w:r>
              <w:rPr>
                <w:rFonts w:ascii="Arial" w:cs="Arial" w:eastAsia="Arial" w:hAnsi="Arial"/>
                <w:sz w:val="18"/>
                <w:szCs w:val="18"/>
                <w:b w:val="1"/>
                <w:bCs w:val="1"/>
                <w:color w:val="auto"/>
                <w:w w:val="99"/>
              </w:rPr>
              <w:t>CONDENSED CONSOLIDATED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80" w:type="dxa"/>
            <w:vAlign w:val="bottom"/>
          </w:tcPr>
          <w:p>
            <w:pPr>
              <w:jc w:val="center"/>
              <w:ind w:left="4750"/>
              <w:spacing w:after="0"/>
              <w:rPr>
                <w:sz w:val="20"/>
                <w:szCs w:val="20"/>
                <w:color w:val="auto"/>
              </w:rPr>
            </w:pPr>
            <w:r>
              <w:rPr>
                <w:rFonts w:ascii="Arial" w:cs="Arial" w:eastAsia="Arial" w:hAnsi="Arial"/>
                <w:sz w:val="18"/>
                <w:szCs w:val="18"/>
                <w:b w:val="1"/>
                <w:bCs w:val="1"/>
                <w:color w:val="auto"/>
                <w:w w:val="98"/>
              </w:rPr>
              <w:t>BALANCE SHEETS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80" w:type="dxa"/>
            <w:vAlign w:val="bottom"/>
          </w:tcPr>
          <w:p>
            <w:pPr>
              <w:jc w:val="center"/>
              <w:ind w:left="4750"/>
              <w:spacing w:after="0"/>
              <w:rPr>
                <w:sz w:val="20"/>
                <w:szCs w:val="20"/>
                <w:color w:val="auto"/>
              </w:rPr>
            </w:pPr>
            <w:r>
              <w:rPr>
                <w:rFonts w:ascii="Arial" w:cs="Arial" w:eastAsia="Arial" w:hAnsi="Arial"/>
                <w:sz w:val="18"/>
                <w:szCs w:val="18"/>
                <w:b w:val="1"/>
                <w:bCs w:val="1"/>
                <w:color w:val="auto"/>
                <w:w w:val="93"/>
              </w:rPr>
              <w:t>(Continued)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September 30, 2018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December 31, 2017</w:t>
            </w:r>
          </w:p>
        </w:tc>
      </w:tr>
      <w:tr>
        <w:trPr>
          <w:trHeight w:val="216"/>
        </w:trPr>
        <w:tc>
          <w:tcPr>
            <w:tcW w:w="6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3,159,627</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3,416,863</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2,140,128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2,282,827</w:t>
            </w:r>
          </w:p>
        </w:tc>
      </w:tr>
      <w:tr>
        <w:trPr>
          <w:trHeight w:val="236"/>
        </w:trPr>
        <w:tc>
          <w:tcPr>
            <w:tcW w:w="6580" w:type="dxa"/>
            <w:vAlign w:val="bottom"/>
          </w:tcPr>
          <w:p>
            <w:pPr>
              <w:ind w:left="180"/>
              <w:spacing w:after="0"/>
              <w:rPr>
                <w:sz w:val="20"/>
                <w:szCs w:val="20"/>
                <w:color w:val="auto"/>
              </w:rPr>
            </w:pPr>
            <w:r>
              <w:rPr>
                <w:rFonts w:ascii="Arial" w:cs="Arial" w:eastAsia="Arial" w:hAnsi="Arial"/>
                <w:sz w:val="18"/>
                <w:szCs w:val="18"/>
                <w:color w:val="auto"/>
              </w:rPr>
              <w:t>Deferred revenue - current portion</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65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Subtotal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5,799,755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Earn-out milestone liability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8,970,854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12,538,525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Notes payable - non-current portion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9,319,579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non-current portion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1,625,000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r>
      <w:tr>
        <w:trPr>
          <w:trHeight w:val="236"/>
        </w:trPr>
        <w:tc>
          <w:tcPr>
            <w:tcW w:w="6580" w:type="dxa"/>
            <w:vAlign w:val="bottom"/>
          </w:tcPr>
          <w:p>
            <w:pPr>
              <w:spacing w:after="0"/>
              <w:rPr>
                <w:sz w:val="20"/>
                <w:szCs w:val="20"/>
                <w:color w:val="auto"/>
              </w:rPr>
            </w:pPr>
            <w:r>
              <w:rPr>
                <w:rFonts w:ascii="Arial" w:cs="Arial" w:eastAsia="Arial" w:hAnsi="Arial"/>
                <w:sz w:val="18"/>
                <w:szCs w:val="18"/>
                <w:color w:val="auto"/>
              </w:rPr>
              <w:t>Other liabilities - non-current portion</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65,701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71,710</w:t>
            </w:r>
          </w:p>
        </w:tc>
      </w:tr>
      <w:tr>
        <w:trPr>
          <w:trHeight w:val="216"/>
        </w:trPr>
        <w:tc>
          <w:tcPr>
            <w:tcW w:w="6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25,780,889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20,809,925</w:t>
            </w:r>
          </w:p>
        </w:tc>
      </w:tr>
      <w:tr>
        <w:trPr>
          <w:trHeight w:val="216"/>
        </w:trPr>
        <w:tc>
          <w:tcPr>
            <w:tcW w:w="6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6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Stock - $0.01 par value (100,000 shares authorized; no shares issued or</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September 30, 2018 and December 31, 2017)</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658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 $0.01 par value (112,500,000 shares authorized; 17,911,454 and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17,277,299 shares issued at September 30, 2018 and December 31, 2017,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w w:val="95"/>
              </w:rPr>
              <w:t>respectively;17,911,120 and 17,276,965 shares outstanding at September 30, 2018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color w:val="auto"/>
              </w:rPr>
              <w:t>and December 31, 2017, respectively)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179,114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172,772</w:t>
            </w:r>
          </w:p>
        </w:tc>
      </w:tr>
      <w:tr>
        <w:trPr>
          <w:trHeight w:val="216"/>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294,162,004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288,408,976</w:t>
            </w: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Accumulated other comprehensive gain (loss)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20,960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(10,164)</w:t>
            </w:r>
          </w:p>
        </w:tc>
      </w:tr>
      <w:tr>
        <w:trPr>
          <w:trHeight w:val="249"/>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(279,145,825)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(261,781,888)</w:t>
            </w:r>
          </w:p>
        </w:tc>
      </w:tr>
      <w:tr>
        <w:trPr>
          <w:trHeight w:val="203"/>
        </w:trPr>
        <w:tc>
          <w:tcPr>
            <w:tcW w:w="6580" w:type="dxa"/>
            <w:vAlign w:val="bottom"/>
            <w:tcBorders>
              <w:top w:val="single" w:sz="8" w:color="CCEEFF"/>
            </w:tcBorders>
          </w:tcPr>
          <w:p>
            <w:pPr>
              <w:ind w:left="400"/>
              <w:spacing w:after="0" w:line="203" w:lineRule="exact"/>
              <w:rPr>
                <w:sz w:val="20"/>
                <w:szCs w:val="20"/>
                <w:color w:val="auto"/>
              </w:rPr>
            </w:pPr>
            <w:r>
              <w:rPr>
                <w:rFonts w:ascii="Arial" w:cs="Arial" w:eastAsia="Arial" w:hAnsi="Arial"/>
                <w:sz w:val="18"/>
                <w:szCs w:val="18"/>
                <w:color w:val="auto"/>
              </w:rPr>
              <w:t>Subtotal</w:t>
            </w: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15,216,253</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26,789,696</w:t>
            </w:r>
          </w:p>
        </w:tc>
        <w:tc>
          <w:tcPr>
            <w:tcW w:w="100" w:type="dxa"/>
            <w:vAlign w:val="bottom"/>
            <w:tcBorders>
              <w:top w:val="single" w:sz="8" w:color="CCEEFF"/>
            </w:tcBorders>
          </w:tcPr>
          <w:p>
            <w:pPr>
              <w:spacing w:after="0"/>
              <w:rPr>
                <w:sz w:val="17"/>
                <w:szCs w:val="17"/>
                <w:color w:val="auto"/>
              </w:rPr>
            </w:pPr>
          </w:p>
        </w:tc>
      </w:tr>
      <w:tr>
        <w:trPr>
          <w:trHeight w:val="216"/>
        </w:trPr>
        <w:tc>
          <w:tcPr>
            <w:tcW w:w="6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580" w:type="dxa"/>
            <w:vAlign w:val="bottom"/>
          </w:tcPr>
          <w:p>
            <w:pPr>
              <w:ind w:left="200"/>
              <w:spacing w:after="0"/>
              <w:rPr>
                <w:sz w:val="20"/>
                <w:szCs w:val="20"/>
                <w:color w:val="auto"/>
              </w:rPr>
            </w:pPr>
            <w:r>
              <w:rPr>
                <w:rFonts w:ascii="Arial" w:cs="Arial" w:eastAsia="Arial" w:hAnsi="Arial"/>
                <w:sz w:val="18"/>
                <w:szCs w:val="18"/>
                <w:color w:val="auto"/>
                <w:w w:val="94"/>
              </w:rPr>
              <w:t>Treasury stock, at cost (334 shares at September 30, 2018 and December 31, 2017)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(85,188)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16"/>
        </w:trPr>
        <w:tc>
          <w:tcPr>
            <w:tcW w:w="6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15,131,065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26,704,508</w:t>
            </w:r>
          </w:p>
        </w:tc>
      </w:tr>
      <w:tr>
        <w:trPr>
          <w:trHeight w:val="229"/>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40,911,954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47,514,433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revenue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General and administrative</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Total operating expenses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7" w:lineRule="exact"/>
        <w:rPr>
          <w:sz w:val="20"/>
          <w:szCs w:val="20"/>
          <w:color w:val="auto"/>
        </w:rPr>
      </w:pPr>
    </w:p>
    <w:p>
      <w:pPr>
        <w:ind w:left="180" w:right="1360"/>
        <w:spacing w:after="0" w:line="250" w:lineRule="auto"/>
        <w:rPr>
          <w:sz w:val="20"/>
          <w:szCs w:val="20"/>
          <w:color w:val="auto"/>
        </w:rPr>
      </w:pPr>
      <w:r>
        <w:rPr>
          <w:rFonts w:ascii="Arial" w:cs="Arial" w:eastAsia="Arial" w:hAnsi="Arial"/>
          <w:sz w:val="18"/>
          <w:szCs w:val="18"/>
          <w:color w:val="auto"/>
        </w:rPr>
        <w:t>Gain from change in valuation of earn-out milestone liability</w:t>
      </w:r>
    </w:p>
    <w:p>
      <w:pPr>
        <w:ind w:left="200"/>
        <w:spacing w:after="0"/>
        <w:rPr>
          <w:sz w:val="20"/>
          <w:szCs w:val="20"/>
          <w:color w:val="auto"/>
        </w:rPr>
      </w:pPr>
      <w:r>
        <w:rPr>
          <w:rFonts w:ascii="Arial" w:cs="Arial" w:eastAsia="Arial" w:hAnsi="Arial"/>
          <w:sz w:val="16"/>
          <w:szCs w:val="16"/>
          <w:color w:val="auto"/>
        </w:rPr>
        <w:t>Impairment of in-process research and development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Investment income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income</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Total other (expense) income, net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Deemed dividend related to warrant modification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common shareholders</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ind w:right="4340"/>
        <w:spacing w:after="0"/>
        <w:rPr>
          <w:sz w:val="20"/>
          <w:szCs w:val="20"/>
          <w:color w:val="auto"/>
        </w:rPr>
      </w:pPr>
      <w:r>
        <w:rPr>
          <w:rFonts w:ascii="Arial" w:cs="Arial" w:eastAsia="Arial" w:hAnsi="Arial"/>
          <w:sz w:val="17"/>
          <w:szCs w:val="17"/>
          <w:b w:val="1"/>
          <w:bCs w:val="1"/>
          <w:color w:val="auto"/>
        </w:rPr>
        <w:t>STATEMENTS OF OPERATIONS</w:t>
      </w:r>
    </w:p>
    <w:p>
      <w:pPr>
        <w:spacing w:after="0" w:line="20"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5"/>
          </w:tcPr>
          <w:p>
            <w:pPr>
              <w:jc w:val="right"/>
              <w:ind w:right="90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64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2017</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125,000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375,000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2,187,317</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3,348,847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9,521,937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9,870,754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1,959,903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1,174,250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7,167,740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4,291,482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4,147,220</w:t>
            </w: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4,523,097</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16,689,677</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14,162,236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(4,022,220)</w:t>
            </w:r>
          </w:p>
        </w:tc>
        <w:tc>
          <w:tcPr>
            <w:tcW w:w="420" w:type="dxa"/>
            <w:vAlign w:val="bottom"/>
          </w:tcPr>
          <w:p>
            <w:pPr>
              <w:spacing w:after="0"/>
              <w:rPr>
                <w:sz w:val="24"/>
                <w:szCs w:val="24"/>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w w:val="97"/>
              </w:rPr>
              <w:t>(4,398,097)</w:t>
            </w:r>
          </w:p>
        </w:tc>
        <w:tc>
          <w:tcPr>
            <w:tcW w:w="240" w:type="dxa"/>
            <w:vAlign w:val="bottom"/>
          </w:tcPr>
          <w:p>
            <w:pPr>
              <w:spacing w:after="0"/>
              <w:rPr>
                <w:sz w:val="24"/>
                <w:szCs w:val="24"/>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(16,314,677)</w:t>
            </w: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(13,787,236)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4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4,114,995</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1,246,151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3,567,671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670,172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(4,510,000)</w:t>
            </w:r>
          </w:p>
        </w:tc>
        <w:tc>
          <w:tcPr>
            <w:tcW w:w="420" w:type="dxa"/>
            <w:vAlign w:val="bottom"/>
          </w:tcPr>
          <w:p>
            <w:pPr>
              <w:spacing w:after="0"/>
              <w:rPr>
                <w:sz w:val="18"/>
                <w:szCs w:val="18"/>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w w:val="97"/>
              </w:rPr>
              <w:t>(2,520,000)</w:t>
            </w:r>
          </w:p>
        </w:tc>
        <w:tc>
          <w:tcPr>
            <w:tcW w:w="24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(4,510,000)</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106,565</w:t>
            </w:r>
          </w:p>
        </w:tc>
        <w:tc>
          <w:tcPr>
            <w:tcW w:w="42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253,750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(345,728)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(360,759)</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(91,756)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(634,166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(1,273,232</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(1,049,260</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(1,934,098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(4,656,386)</w:t>
            </w:r>
          </w:p>
        </w:tc>
        <w:tc>
          <w:tcPr>
            <w:tcW w:w="420" w:type="dxa"/>
            <w:vAlign w:val="bottom"/>
          </w:tcPr>
          <w:p>
            <w:pPr>
              <w:spacing w:after="0"/>
              <w:rPr>
                <w:sz w:val="24"/>
                <w:szCs w:val="24"/>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w w:val="97"/>
              </w:rPr>
              <w:t>(5,671,329)</w:t>
            </w:r>
          </w:p>
        </w:tc>
        <w:tc>
          <w:tcPr>
            <w:tcW w:w="240" w:type="dxa"/>
            <w:vAlign w:val="bottom"/>
          </w:tcPr>
          <w:p>
            <w:pPr>
              <w:spacing w:after="0"/>
              <w:rPr>
                <w:sz w:val="24"/>
                <w:szCs w:val="24"/>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(17,363,937)</w:t>
            </w: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(15,721,334)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(345,685)</w:t>
            </w:r>
          </w:p>
        </w:tc>
        <w:tc>
          <w:tcPr>
            <w:tcW w:w="0" w:type="dxa"/>
            <w:vAlign w:val="bottom"/>
          </w:tcPr>
          <w:p>
            <w:pPr>
              <w:spacing w:after="0"/>
              <w:rPr>
                <w:sz w:val="1"/>
                <w:szCs w:val="1"/>
                <w:color w:val="auto"/>
              </w:rPr>
            </w:pPr>
          </w:p>
        </w:tc>
      </w:tr>
      <w:tr>
        <w:trPr>
          <w:trHeight w:val="236"/>
        </w:trPr>
        <w:tc>
          <w:tcPr>
            <w:tcW w:w="28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(4,656,386</w:t>
            </w:r>
          </w:p>
        </w:tc>
        <w:tc>
          <w:tcPr>
            <w:tcW w:w="340" w:type="dxa"/>
            <w:vAlign w:val="bottom"/>
            <w:vMerge w:val="continue"/>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(5,671,329</w:t>
            </w:r>
          </w:p>
        </w:tc>
        <w:tc>
          <w:tcPr>
            <w:tcW w:w="34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(17,363,937</w:t>
            </w:r>
          </w:p>
        </w:tc>
        <w:tc>
          <w:tcPr>
            <w:tcW w:w="34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(16,067,019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-3348355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-3048635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-2774950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-2466340</wp:posOffset>
            </wp:positionV>
            <wp:extent cx="72466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-2166620</wp:posOffset>
            </wp:positionV>
            <wp:extent cx="72466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-1884045</wp:posOffset>
            </wp:positionV>
            <wp:extent cx="72466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-1472565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-1198880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-890270</wp:posOffset>
            </wp:positionV>
            <wp:extent cx="72466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-607695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-333375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40" w:space="420"/>
            <w:col w:w="7060"/>
          </w:cols>
          <w:pgMar w:left="240" w:top="688"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4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 and diluted</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   $</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b w:val="1"/>
                <w:bCs w:val="1"/>
                <w:color w:val="auto"/>
              </w:rPr>
              <w:t>Basic and diluted</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17,801,230</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8,054,658</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17,447,921</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5,171,699</w:t>
            </w:r>
          </w:p>
        </w:tc>
        <w:tc>
          <w:tcPr>
            <w:tcW w:w="100" w:type="dxa"/>
            <w:vAlign w:val="bottom"/>
          </w:tcPr>
          <w:p>
            <w:pPr>
              <w:spacing w:after="0"/>
              <w:rPr>
                <w:sz w:val="21"/>
                <w:szCs w:val="21"/>
                <w:color w:val="auto"/>
              </w:rPr>
            </w:pPr>
          </w:p>
        </w:tc>
      </w:tr>
      <w:tr>
        <w:trPr>
          <w:trHeight w:val="20"/>
        </w:trPr>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62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rPr>
              <w:t>CELSION CORPORATION</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4260" w:type="dxa"/>
            <w:vAlign w:val="bottom"/>
          </w:tcPr>
          <w:p>
            <w:pPr>
              <w:spacing w:after="0"/>
              <w:rPr>
                <w:sz w:val="24"/>
                <w:szCs w:val="24"/>
                <w:color w:val="auto"/>
              </w:rPr>
            </w:pPr>
          </w:p>
        </w:tc>
        <w:tc>
          <w:tcPr>
            <w:tcW w:w="304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9"/>
              </w:rPr>
              <w:t>CONDENSED CONSOLIDATED</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00" w:type="dxa"/>
            <w:vAlign w:val="bottom"/>
            <w:gridSpan w:val="8"/>
          </w:tcPr>
          <w:p>
            <w:pPr>
              <w:jc w:val="center"/>
              <w:ind w:left="2830"/>
              <w:spacing w:after="0"/>
              <w:rPr>
                <w:sz w:val="20"/>
                <w:szCs w:val="20"/>
                <w:color w:val="auto"/>
              </w:rPr>
            </w:pPr>
            <w:r>
              <w:rPr>
                <w:rFonts w:ascii="Arial" w:cs="Arial" w:eastAsia="Arial" w:hAnsi="Arial"/>
                <w:sz w:val="18"/>
                <w:szCs w:val="18"/>
                <w:b w:val="1"/>
                <w:bCs w:val="1"/>
                <w:color w:val="auto"/>
                <w:w w:val="99"/>
              </w:rPr>
              <w:t>STATEMENTS OF COMPREHENSIVE LOSS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60" w:type="dxa"/>
            <w:vAlign w:val="bottom"/>
          </w:tcPr>
          <w:p>
            <w:pPr>
              <w:spacing w:after="0"/>
              <w:rPr>
                <w:sz w:val="20"/>
                <w:szCs w:val="20"/>
                <w:color w:val="auto"/>
              </w:rPr>
            </w:pPr>
          </w:p>
        </w:tc>
        <w:tc>
          <w:tcPr>
            <w:tcW w:w="262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3"/>
              </w:rPr>
              <w:t>(Unaudited)</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4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6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42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2017</w:t>
            </w:r>
          </w:p>
        </w:tc>
        <w:tc>
          <w:tcPr>
            <w:tcW w:w="3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4260" w:type="dxa"/>
            <w:vAlign w:val="bottom"/>
          </w:tcPr>
          <w:p>
            <w:pPr>
              <w:spacing w:after="0" w:line="201" w:lineRule="exact"/>
              <w:rPr>
                <w:sz w:val="20"/>
                <w:szCs w:val="20"/>
                <w:color w:val="auto"/>
              </w:rPr>
            </w:pPr>
            <w:r>
              <w:rPr>
                <w:rFonts w:ascii="Arial" w:cs="Arial" w:eastAsia="Arial" w:hAnsi="Arial"/>
                <w:sz w:val="18"/>
                <w:szCs w:val="18"/>
                <w:color w:val="auto"/>
              </w:rPr>
              <w:t>Realized gain on investment securities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recognized in investment income, net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(2,788)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(11,125)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 securities</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29,665</w:t>
            </w:r>
          </w:p>
        </w:tc>
        <w:tc>
          <w:tcPr>
            <w:tcW w:w="4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42,249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3"/>
              </w:rPr>
              <w:t>Change in unrealized gain on available for sale securities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26,877</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31,124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(4,656,386)</w:t>
            </w:r>
          </w:p>
        </w:tc>
        <w:tc>
          <w:tcPr>
            <w:tcW w:w="4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(5,671,329)</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(17,363,937)</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(15,721,334)</w:t>
            </w:r>
          </w:p>
        </w:tc>
      </w:tr>
      <w:tr>
        <w:trPr>
          <w:trHeight w:val="216"/>
        </w:trPr>
        <w:tc>
          <w:tcPr>
            <w:tcW w:w="4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(4,629,509)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(5,671,329)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(17,332,813)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(15,721,334)</w:t>
            </w: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8740" w:type="dxa"/>
            <w:vAlign w:val="bottom"/>
            <w:gridSpan w:val="9"/>
          </w:tcPr>
          <w:p>
            <w:pPr>
              <w:jc w:val="center"/>
              <w:ind w:left="26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79"/>
              </w:rPr>
              <w:t>4</w:t>
            </w: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jc w:val="center"/>
              <w:ind w:left="4250"/>
              <w:spacing w:after="0"/>
              <w:rPr>
                <w:sz w:val="20"/>
                <w:szCs w:val="20"/>
                <w:color w:val="auto"/>
              </w:rPr>
            </w:pPr>
            <w:r>
              <w:rPr>
                <w:rFonts w:ascii="Arial" w:cs="Arial" w:eastAsia="Arial" w:hAnsi="Arial"/>
                <w:sz w:val="18"/>
                <w:szCs w:val="18"/>
                <w:b w:val="1"/>
                <w:bCs w:val="1"/>
                <w:color w:val="auto"/>
              </w:rPr>
              <w:t>CELSION CORPORATION</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7080" w:type="dxa"/>
            <w:vAlign w:val="bottom"/>
          </w:tcPr>
          <w:p>
            <w:pPr>
              <w:jc w:val="center"/>
              <w:ind w:left="4250"/>
              <w:spacing w:after="0"/>
              <w:rPr>
                <w:sz w:val="20"/>
                <w:szCs w:val="20"/>
                <w:color w:val="auto"/>
              </w:rPr>
            </w:pPr>
            <w:r>
              <w:rPr>
                <w:rFonts w:ascii="Arial" w:cs="Arial" w:eastAsia="Arial" w:hAnsi="Arial"/>
                <w:sz w:val="18"/>
                <w:szCs w:val="18"/>
                <w:b w:val="1"/>
                <w:bCs w:val="1"/>
                <w:color w:val="auto"/>
                <w:w w:val="99"/>
              </w:rPr>
              <w:t>CONDENSED CONSOLIDATED</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80" w:type="dxa"/>
            <w:vAlign w:val="bottom"/>
          </w:tcPr>
          <w:p>
            <w:pPr>
              <w:jc w:val="center"/>
              <w:ind w:left="4250"/>
              <w:spacing w:after="0"/>
              <w:rPr>
                <w:sz w:val="20"/>
                <w:szCs w:val="20"/>
                <w:color w:val="auto"/>
              </w:rPr>
            </w:pPr>
            <w:r>
              <w:rPr>
                <w:rFonts w:ascii="Arial" w:cs="Arial" w:eastAsia="Arial" w:hAnsi="Arial"/>
                <w:sz w:val="18"/>
                <w:szCs w:val="18"/>
                <w:b w:val="1"/>
                <w:bCs w:val="1"/>
                <w:color w:val="auto"/>
                <w:w w:val="98"/>
              </w:rPr>
              <w:t>STATEMENTS OF CASH FLOWS</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80" w:type="dxa"/>
            <w:vAlign w:val="bottom"/>
          </w:tcPr>
          <w:p>
            <w:pPr>
              <w:jc w:val="center"/>
              <w:ind w:left="4250"/>
              <w:spacing w:after="0"/>
              <w:rPr>
                <w:sz w:val="20"/>
                <w:szCs w:val="20"/>
                <w:color w:val="auto"/>
              </w:rPr>
            </w:pPr>
            <w:r>
              <w:rPr>
                <w:rFonts w:ascii="Arial" w:cs="Arial" w:eastAsia="Arial" w:hAnsi="Arial"/>
                <w:sz w:val="18"/>
                <w:szCs w:val="18"/>
                <w:b w:val="1"/>
                <w:bCs w:val="1"/>
                <w:color w:val="auto"/>
                <w:w w:val="93"/>
              </w:rPr>
              <w:t>(Unaudited)</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7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0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0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(17,363,937)</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(15,721,334)</w:t>
            </w:r>
          </w:p>
        </w:tc>
      </w:tr>
      <w:tr>
        <w:trPr>
          <w:trHeight w:val="216"/>
        </w:trPr>
        <w:tc>
          <w:tcPr>
            <w:tcW w:w="7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840" w:type="dxa"/>
            <w:vAlign w:val="bottom"/>
            <w:gridSpan w:val="2"/>
          </w:tcPr>
          <w:p>
            <w:pPr>
              <w:jc w:val="right"/>
              <w:ind w:right="261"/>
              <w:spacing w:after="0"/>
              <w:rPr>
                <w:sz w:val="20"/>
                <w:szCs w:val="20"/>
                <w:color w:val="auto"/>
              </w:rPr>
            </w:pPr>
            <w:r>
              <w:rPr>
                <w:rFonts w:ascii="Arial" w:cs="Arial" w:eastAsia="Arial" w:hAnsi="Arial"/>
                <w:sz w:val="18"/>
                <w:szCs w:val="18"/>
                <w:color w:val="auto"/>
              </w:rPr>
              <w:t>261,513</w:t>
            </w:r>
          </w:p>
        </w:tc>
        <w:tc>
          <w:tcPr>
            <w:tcW w:w="68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511,587</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earn-out milestone liability</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(3,567,671)</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(670,172)</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Impairment of in-process research and development</w:t>
            </w:r>
          </w:p>
        </w:tc>
        <w:tc>
          <w:tcPr>
            <w:tcW w:w="460" w:type="dxa"/>
            <w:vAlign w:val="bottom"/>
          </w:tcPr>
          <w:p>
            <w:pPr>
              <w:spacing w:after="0"/>
              <w:rPr>
                <w:sz w:val="18"/>
                <w:szCs w:val="18"/>
                <w:color w:val="auto"/>
              </w:rPr>
            </w:pPr>
          </w:p>
        </w:tc>
        <w:tc>
          <w:tcPr>
            <w:tcW w:w="1840" w:type="dxa"/>
            <w:vAlign w:val="bottom"/>
            <w:gridSpan w:val="2"/>
          </w:tcPr>
          <w:p>
            <w:pPr>
              <w:jc w:val="right"/>
              <w:ind w:right="261"/>
              <w:spacing w:after="0"/>
              <w:rPr>
                <w:sz w:val="20"/>
                <w:szCs w:val="20"/>
                <w:color w:val="auto"/>
              </w:rPr>
            </w:pPr>
            <w:r>
              <w:rPr>
                <w:rFonts w:ascii="Arial" w:cs="Arial" w:eastAsia="Arial" w:hAnsi="Arial"/>
                <w:sz w:val="18"/>
                <w:szCs w:val="18"/>
                <w:color w:val="auto"/>
              </w:rPr>
              <w:t>4,510,000</w:t>
            </w:r>
          </w:p>
        </w:tc>
        <w:tc>
          <w:tcPr>
            <w:tcW w:w="68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2,520,000</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(375,000)</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Stock-based compensation costs</w:t>
            </w:r>
          </w:p>
        </w:tc>
        <w:tc>
          <w:tcPr>
            <w:tcW w:w="460" w:type="dxa"/>
            <w:vAlign w:val="bottom"/>
          </w:tcPr>
          <w:p>
            <w:pPr>
              <w:spacing w:after="0"/>
              <w:rPr>
                <w:sz w:val="18"/>
                <w:szCs w:val="18"/>
                <w:color w:val="auto"/>
              </w:rPr>
            </w:pPr>
          </w:p>
        </w:tc>
        <w:tc>
          <w:tcPr>
            <w:tcW w:w="1840" w:type="dxa"/>
            <w:vAlign w:val="bottom"/>
            <w:gridSpan w:val="2"/>
          </w:tcPr>
          <w:p>
            <w:pPr>
              <w:jc w:val="right"/>
              <w:ind w:right="261"/>
              <w:spacing w:after="0"/>
              <w:rPr>
                <w:sz w:val="20"/>
                <w:szCs w:val="20"/>
                <w:color w:val="auto"/>
              </w:rPr>
            </w:pPr>
            <w:r>
              <w:rPr>
                <w:rFonts w:ascii="Arial" w:cs="Arial" w:eastAsia="Arial" w:hAnsi="Arial"/>
                <w:sz w:val="18"/>
                <w:szCs w:val="18"/>
                <w:color w:val="auto"/>
              </w:rPr>
              <w:t>3,985,829</w:t>
            </w:r>
          </w:p>
        </w:tc>
        <w:tc>
          <w:tcPr>
            <w:tcW w:w="68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951,488</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shares issued</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29,841</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1"/>
        </w:trPr>
        <w:tc>
          <w:tcPr>
            <w:tcW w:w="7080" w:type="dxa"/>
            <w:vAlign w:val="bottom"/>
          </w:tcPr>
          <w:p>
            <w:pPr>
              <w:ind w:left="180"/>
              <w:spacing w:after="0" w:line="201" w:lineRule="exact"/>
              <w:rPr>
                <w:sz w:val="20"/>
                <w:szCs w:val="20"/>
                <w:color w:val="auto"/>
              </w:rPr>
            </w:pPr>
            <w:r>
              <w:rPr>
                <w:rFonts w:ascii="Arial" w:cs="Arial" w:eastAsia="Arial" w:hAnsi="Arial"/>
                <w:sz w:val="18"/>
                <w:szCs w:val="18"/>
                <w:color w:val="auto"/>
              </w:rPr>
              <w:t>Amortization of deferred finance charges and debt discount</w:t>
            </w: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associated with notes payable</w:t>
            </w:r>
          </w:p>
        </w:tc>
        <w:tc>
          <w:tcPr>
            <w:tcW w:w="460" w:type="dxa"/>
            <w:vAlign w:val="bottom"/>
          </w:tcPr>
          <w:p>
            <w:pPr>
              <w:spacing w:after="0"/>
              <w:rPr>
                <w:sz w:val="20"/>
                <w:szCs w:val="20"/>
                <w:color w:val="auto"/>
              </w:rPr>
            </w:pPr>
          </w:p>
        </w:tc>
        <w:tc>
          <w:tcPr>
            <w:tcW w:w="1840" w:type="dxa"/>
            <w:vAlign w:val="bottom"/>
            <w:gridSpan w:val="2"/>
          </w:tcPr>
          <w:p>
            <w:pPr>
              <w:jc w:val="right"/>
              <w:ind w:right="261"/>
              <w:spacing w:after="0"/>
              <w:rPr>
                <w:sz w:val="20"/>
                <w:szCs w:val="20"/>
                <w:color w:val="auto"/>
              </w:rPr>
            </w:pPr>
            <w:r>
              <w:rPr>
                <w:rFonts w:ascii="Arial" w:cs="Arial" w:eastAsia="Arial" w:hAnsi="Arial"/>
                <w:sz w:val="18"/>
                <w:szCs w:val="18"/>
                <w:color w:val="auto"/>
              </w:rPr>
              <w:t>101,695</w:t>
            </w:r>
          </w:p>
        </w:tc>
        <w:tc>
          <w:tcPr>
            <w:tcW w:w="680" w:type="dxa"/>
            <w:vAlign w:val="bottom"/>
          </w:tcPr>
          <w:p>
            <w:pPr>
              <w:spacing w:after="0"/>
              <w:rPr>
                <w:sz w:val="20"/>
                <w:szCs w:val="20"/>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35,370</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deferred rent liability</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(6,009)</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61,328</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Net changes in:</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interest on investment securities</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(22,306)</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4,008</w:t>
            </w: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Advances, deposits and other current assets</w:t>
            </w:r>
          </w:p>
        </w:tc>
        <w:tc>
          <w:tcPr>
            <w:tcW w:w="460" w:type="dxa"/>
            <w:vAlign w:val="bottom"/>
          </w:tcPr>
          <w:p>
            <w:pPr>
              <w:spacing w:after="0"/>
              <w:rPr>
                <w:sz w:val="18"/>
                <w:szCs w:val="18"/>
                <w:color w:val="auto"/>
              </w:rPr>
            </w:pPr>
          </w:p>
        </w:tc>
        <w:tc>
          <w:tcPr>
            <w:tcW w:w="1840" w:type="dxa"/>
            <w:vAlign w:val="bottom"/>
            <w:gridSpan w:val="2"/>
          </w:tcPr>
          <w:p>
            <w:pPr>
              <w:jc w:val="right"/>
              <w:ind w:right="201"/>
              <w:spacing w:after="0"/>
              <w:rPr>
                <w:sz w:val="20"/>
                <w:szCs w:val="20"/>
                <w:color w:val="auto"/>
              </w:rPr>
            </w:pPr>
            <w:r>
              <w:rPr>
                <w:rFonts w:ascii="Arial" w:cs="Arial" w:eastAsia="Arial" w:hAnsi="Arial"/>
                <w:sz w:val="18"/>
                <w:szCs w:val="18"/>
                <w:color w:val="auto"/>
              </w:rPr>
              <w:t>(231,991)</w:t>
            </w:r>
          </w:p>
        </w:tc>
        <w:tc>
          <w:tcPr>
            <w:tcW w:w="68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115,106</w:t>
            </w:r>
          </w:p>
        </w:tc>
      </w:tr>
      <w:tr>
        <w:trPr>
          <w:trHeight w:val="249"/>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(399,935)</w:t>
            </w:r>
          </w:p>
        </w:tc>
        <w:tc>
          <w:tcPr>
            <w:tcW w:w="6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134,440</w:t>
            </w:r>
          </w:p>
        </w:tc>
      </w:tr>
      <w:tr>
        <w:trPr>
          <w:trHeight w:val="210"/>
        </w:trPr>
        <w:tc>
          <w:tcPr>
            <w:tcW w:w="7080" w:type="dxa"/>
            <w:vAlign w:val="bottom"/>
            <w:tcBorders>
              <w:top w:val="single" w:sz="8" w:color="CCEEFF"/>
              <w:bottom w:val="single" w:sz="8" w:color="CCEEFF"/>
            </w:tcBorders>
          </w:tcPr>
          <w:p>
            <w:pPr>
              <w:ind w:left="60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(13,077,971</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(12,433,179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(15,574,587)</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Proceeds from sale and maturity of investment securities</w:t>
            </w:r>
          </w:p>
        </w:tc>
        <w:tc>
          <w:tcPr>
            <w:tcW w:w="460" w:type="dxa"/>
            <w:vAlign w:val="bottom"/>
          </w:tcPr>
          <w:p>
            <w:pPr>
              <w:spacing w:after="0"/>
              <w:rPr>
                <w:sz w:val="18"/>
                <w:szCs w:val="18"/>
                <w:color w:val="auto"/>
              </w:rPr>
            </w:pPr>
          </w:p>
        </w:tc>
        <w:tc>
          <w:tcPr>
            <w:tcW w:w="1840" w:type="dxa"/>
            <w:vAlign w:val="bottom"/>
            <w:gridSpan w:val="2"/>
          </w:tcPr>
          <w:p>
            <w:pPr>
              <w:jc w:val="right"/>
              <w:ind w:right="261"/>
              <w:spacing w:after="0"/>
              <w:rPr>
                <w:sz w:val="20"/>
                <w:szCs w:val="20"/>
                <w:color w:val="auto"/>
              </w:rPr>
            </w:pPr>
            <w:r>
              <w:rPr>
                <w:rFonts w:ascii="Arial" w:cs="Arial" w:eastAsia="Arial" w:hAnsi="Arial"/>
                <w:sz w:val="18"/>
                <w:szCs w:val="18"/>
                <w:color w:val="auto"/>
              </w:rPr>
              <w:t>9,750,000</w:t>
            </w:r>
          </w:p>
        </w:tc>
        <w:tc>
          <w:tcPr>
            <w:tcW w:w="68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1,680,000</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 refund on corporate office lease</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(50,000)</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100,000</w:t>
            </w:r>
          </w:p>
        </w:tc>
      </w:tr>
      <w:tr>
        <w:trPr>
          <w:trHeight w:val="236"/>
        </w:trPr>
        <w:tc>
          <w:tcPr>
            <w:tcW w:w="70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460" w:type="dxa"/>
            <w:vAlign w:val="bottom"/>
          </w:tcPr>
          <w:p>
            <w:pPr>
              <w:spacing w:after="0"/>
              <w:rPr>
                <w:sz w:val="20"/>
                <w:szCs w:val="20"/>
                <w:color w:val="auto"/>
              </w:rPr>
            </w:pPr>
          </w:p>
        </w:tc>
        <w:tc>
          <w:tcPr>
            <w:tcW w:w="1840" w:type="dxa"/>
            <w:vAlign w:val="bottom"/>
            <w:gridSpan w:val="2"/>
          </w:tcPr>
          <w:p>
            <w:pPr>
              <w:jc w:val="right"/>
              <w:ind w:right="201"/>
              <w:spacing w:after="0"/>
              <w:rPr>
                <w:sz w:val="20"/>
                <w:szCs w:val="20"/>
                <w:color w:val="auto"/>
              </w:rPr>
            </w:pPr>
            <w:r>
              <w:rPr>
                <w:rFonts w:ascii="Arial" w:cs="Arial" w:eastAsia="Arial" w:hAnsi="Arial"/>
                <w:sz w:val="18"/>
                <w:szCs w:val="18"/>
                <w:color w:val="auto"/>
              </w:rPr>
              <w:t>(81,778)</w:t>
            </w:r>
          </w:p>
        </w:tc>
        <w:tc>
          <w:tcPr>
            <w:tcW w:w="6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(21,126)</w:t>
            </w:r>
          </w:p>
        </w:tc>
      </w:tr>
      <w:tr>
        <w:trPr>
          <w:trHeight w:val="223"/>
        </w:trPr>
        <w:tc>
          <w:tcPr>
            <w:tcW w:w="708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(5,956,365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Proceeds from sale of common stock equity, net of issuance costs</w:t>
            </w:r>
          </w:p>
        </w:tc>
        <w:tc>
          <w:tcPr>
            <w:tcW w:w="460" w:type="dxa"/>
            <w:vAlign w:val="bottom"/>
          </w:tcPr>
          <w:p>
            <w:pPr>
              <w:spacing w:after="0"/>
              <w:rPr>
                <w:sz w:val="18"/>
                <w:szCs w:val="18"/>
                <w:color w:val="auto"/>
              </w:rPr>
            </w:pPr>
          </w:p>
        </w:tc>
        <w:tc>
          <w:tcPr>
            <w:tcW w:w="1840" w:type="dxa"/>
            <w:vAlign w:val="bottom"/>
            <w:gridSpan w:val="2"/>
          </w:tcPr>
          <w:p>
            <w:pPr>
              <w:jc w:val="right"/>
              <w:ind w:right="261"/>
              <w:spacing w:after="0"/>
              <w:rPr>
                <w:sz w:val="20"/>
                <w:szCs w:val="20"/>
                <w:color w:val="auto"/>
              </w:rPr>
            </w:pPr>
            <w:r>
              <w:rPr>
                <w:rFonts w:ascii="Arial" w:cs="Arial" w:eastAsia="Arial" w:hAnsi="Arial"/>
                <w:sz w:val="18"/>
                <w:szCs w:val="18"/>
                <w:color w:val="auto"/>
              </w:rPr>
              <w:t>1,236,584</w:t>
            </w:r>
          </w:p>
        </w:tc>
        <w:tc>
          <w:tcPr>
            <w:tcW w:w="68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8,405,190</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notes payable, net of issuance costs</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9,725,000</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Proceeds from exercise of common stock warrants</w:t>
            </w:r>
          </w:p>
        </w:tc>
        <w:tc>
          <w:tcPr>
            <w:tcW w:w="460" w:type="dxa"/>
            <w:vAlign w:val="bottom"/>
          </w:tcPr>
          <w:p>
            <w:pPr>
              <w:spacing w:after="0"/>
              <w:rPr>
                <w:sz w:val="18"/>
                <w:szCs w:val="18"/>
                <w:color w:val="auto"/>
              </w:rPr>
            </w:pPr>
          </w:p>
        </w:tc>
        <w:tc>
          <w:tcPr>
            <w:tcW w:w="18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4,925,886</w:t>
            </w:r>
          </w:p>
        </w:tc>
      </w:tr>
      <w:tr>
        <w:trPr>
          <w:trHeight w:val="249"/>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w:t>
            </w:r>
          </w:p>
        </w:tc>
        <w:tc>
          <w:tcPr>
            <w:tcW w:w="4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(2,595,923)</w:t>
            </w:r>
          </w:p>
        </w:tc>
      </w:tr>
      <w:tr>
        <w:trPr>
          <w:trHeight w:val="210"/>
        </w:trPr>
        <w:tc>
          <w:tcPr>
            <w:tcW w:w="7080" w:type="dxa"/>
            <w:vAlign w:val="bottom"/>
            <w:tcBorders>
              <w:top w:val="single" w:sz="8" w:color="CCEEFF"/>
              <w:bottom w:val="single" w:sz="8" w:color="CCEEFF"/>
            </w:tcBorders>
          </w:tcPr>
          <w:p>
            <w:pPr>
              <w:ind w:left="60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10,961,584</w:t>
            </w:r>
          </w:p>
        </w:tc>
        <w:tc>
          <w:tcPr>
            <w:tcW w:w="34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10,735,153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460" w:type="dxa"/>
            <w:vAlign w:val="bottom"/>
          </w:tcPr>
          <w:p>
            <w:pPr>
              <w:spacing w:after="0"/>
              <w:rPr>
                <w:sz w:val="18"/>
                <w:szCs w:val="18"/>
                <w:color w:val="auto"/>
              </w:rPr>
            </w:pPr>
          </w:p>
        </w:tc>
        <w:tc>
          <w:tcPr>
            <w:tcW w:w="1840" w:type="dxa"/>
            <w:vAlign w:val="bottom"/>
            <w:gridSpan w:val="2"/>
          </w:tcPr>
          <w:p>
            <w:pPr>
              <w:jc w:val="right"/>
              <w:ind w:right="201"/>
              <w:spacing w:after="0"/>
              <w:rPr>
                <w:sz w:val="20"/>
                <w:szCs w:val="20"/>
                <w:color w:val="auto"/>
              </w:rPr>
            </w:pPr>
            <w:r>
              <w:rPr>
                <w:rFonts w:ascii="Arial" w:cs="Arial" w:eastAsia="Arial" w:hAnsi="Arial"/>
                <w:sz w:val="18"/>
                <w:szCs w:val="18"/>
                <w:color w:val="auto"/>
              </w:rPr>
              <w:t>(8,072,752)</w:t>
            </w:r>
          </w:p>
        </w:tc>
        <w:tc>
          <w:tcPr>
            <w:tcW w:w="68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60,848</w:t>
            </w:r>
          </w:p>
        </w:tc>
      </w:tr>
      <w:tr>
        <w:trPr>
          <w:trHeight w:val="249"/>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11,444,055</w:t>
            </w:r>
          </w:p>
        </w:tc>
        <w:tc>
          <w:tcPr>
            <w:tcW w:w="6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2,624,162</w:t>
            </w:r>
          </w:p>
        </w:tc>
      </w:tr>
      <w:tr>
        <w:trPr>
          <w:trHeight w:val="256"/>
        </w:trPr>
        <w:tc>
          <w:tcPr>
            <w:tcW w:w="7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3,371,303</w:t>
            </w:r>
          </w:p>
        </w:tc>
        <w:tc>
          <w:tcPr>
            <w:tcW w:w="340" w:type="dxa"/>
            <w:vAlign w:val="bottom"/>
            <w:tcBorders>
              <w:top w:val="single" w:sz="8" w:color="CCEEFF"/>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2,685,010</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7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259,064</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56,386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080" w:type="dxa"/>
            <w:vAlign w:val="bottom"/>
          </w:tcPr>
          <w:p>
            <w:pPr>
              <w:jc w:val="center"/>
              <w:ind w:left="4250"/>
              <w:spacing w:after="0"/>
              <w:rPr>
                <w:sz w:val="20"/>
                <w:szCs w:val="20"/>
                <w:color w:val="auto"/>
              </w:rPr>
            </w:pPr>
            <w:r>
              <w:rPr>
                <w:rFonts w:ascii="Arial" w:cs="Arial" w:eastAsia="Arial" w:hAnsi="Arial"/>
                <w:sz w:val="18"/>
                <w:szCs w:val="18"/>
                <w:b w:val="1"/>
                <w:bCs w:val="1"/>
                <w:color w:val="auto"/>
              </w:rPr>
              <w:t>CELSION CORPORATION</w:t>
            </w: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3"/>
        </w:trPr>
        <w:tc>
          <w:tcPr>
            <w:tcW w:w="7080" w:type="dxa"/>
            <w:vAlign w:val="bottom"/>
          </w:tcPr>
          <w:p>
            <w:pPr>
              <w:jc w:val="center"/>
              <w:ind w:left="4250"/>
              <w:spacing w:after="0"/>
              <w:rPr>
                <w:sz w:val="20"/>
                <w:szCs w:val="20"/>
                <w:color w:val="auto"/>
              </w:rPr>
            </w:pPr>
            <w:r>
              <w:rPr>
                <w:rFonts w:ascii="Arial" w:cs="Arial" w:eastAsia="Arial" w:hAnsi="Arial"/>
                <w:sz w:val="18"/>
                <w:szCs w:val="18"/>
                <w:b w:val="1"/>
                <w:bCs w:val="1"/>
                <w:color w:val="auto"/>
                <w:w w:val="99"/>
              </w:rPr>
              <w:t>CONDENSED CONSOLIDATED</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340" w:type="dxa"/>
            <w:vAlign w:val="bottom"/>
            <w:gridSpan w:val="2"/>
          </w:tcPr>
          <w:p>
            <w:pPr>
              <w:jc w:val="center"/>
              <w:ind w:left="2990"/>
              <w:spacing w:after="0"/>
              <w:rPr>
                <w:sz w:val="20"/>
                <w:szCs w:val="20"/>
                <w:color w:val="auto"/>
              </w:rPr>
            </w:pPr>
            <w:r>
              <w:rPr>
                <w:rFonts w:ascii="Arial" w:cs="Arial" w:eastAsia="Arial" w:hAnsi="Arial"/>
                <w:sz w:val="18"/>
                <w:szCs w:val="18"/>
                <w:b w:val="1"/>
                <w:bCs w:val="1"/>
                <w:color w:val="auto"/>
                <w:w w:val="96"/>
              </w:rPr>
              <w:t>STATEMENTS OF CASH FLOWS (continued)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080" w:type="dxa"/>
            <w:vAlign w:val="bottom"/>
          </w:tcPr>
          <w:p>
            <w:pPr>
              <w:jc w:val="center"/>
              <w:ind w:left="4250"/>
              <w:spacing w:after="0"/>
              <w:rPr>
                <w:sz w:val="20"/>
                <w:szCs w:val="20"/>
                <w:color w:val="auto"/>
              </w:rPr>
            </w:pPr>
            <w:r>
              <w:rPr>
                <w:rFonts w:ascii="Arial" w:cs="Arial" w:eastAsia="Arial" w:hAnsi="Arial"/>
                <w:sz w:val="18"/>
                <w:szCs w:val="18"/>
                <w:b w:val="1"/>
                <w:bCs w:val="1"/>
                <w:color w:val="auto"/>
                <w:w w:val="93"/>
              </w:rPr>
              <w:t>(Unaudited)</w:t>
            </w: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3"/>
        </w:trPr>
        <w:tc>
          <w:tcPr>
            <w:tcW w:w="7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Nine Months Ended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70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70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1"/>
        </w:trPr>
        <w:tc>
          <w:tcPr>
            <w:tcW w:w="7080" w:type="dxa"/>
            <w:vAlign w:val="bottom"/>
          </w:tcPr>
          <w:p>
            <w:pPr>
              <w:ind w:left="200"/>
              <w:spacing w:after="0" w:line="201" w:lineRule="exact"/>
              <w:rPr>
                <w:sz w:val="20"/>
                <w:szCs w:val="20"/>
                <w:color w:val="auto"/>
              </w:rPr>
            </w:pPr>
            <w:r>
              <w:rPr>
                <w:rFonts w:ascii="Arial" w:cs="Arial" w:eastAsia="Arial" w:hAnsi="Arial"/>
                <w:sz w:val="18"/>
                <w:szCs w:val="18"/>
                <w:color w:val="auto"/>
                <w:w w:val="97"/>
              </w:rPr>
              <w:t>Fair value of common stock issued as equity issuance costs and charged against paid in</w:t>
            </w: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80" w:type="dxa"/>
            <w:vAlign w:val="bottom"/>
          </w:tcPr>
          <w:p>
            <w:pPr>
              <w:ind w:left="200"/>
              <w:spacing w:after="0"/>
              <w:rPr>
                <w:sz w:val="20"/>
                <w:szCs w:val="20"/>
                <w:color w:val="auto"/>
              </w:rPr>
            </w:pPr>
            <w:r>
              <w:rPr>
                <w:rFonts w:ascii="Arial" w:cs="Arial" w:eastAsia="Arial" w:hAnsi="Arial"/>
                <w:sz w:val="18"/>
                <w:szCs w:val="18"/>
                <w:color w:val="auto"/>
              </w:rPr>
              <w:t>capital</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450,000</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warrants issued in connection with notes payable</w:t>
            </w:r>
          </w:p>
        </w:tc>
        <w:tc>
          <w:tcPr>
            <w:tcW w:w="1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507,116</w:t>
            </w:r>
          </w:p>
        </w:tc>
        <w:tc>
          <w:tcPr>
            <w:tcW w:w="6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708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957,116</w:t>
            </w:r>
          </w:p>
        </w:tc>
        <w:tc>
          <w:tcPr>
            <w:tcW w:w="34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development stage oncology drug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product pipeline also includes GEN-1, a DNA-based immunotherapy for the localized treatment of ovarian and brain cancers. Our product pipeline is based on three platform technologies that have demonstrated the potential to address a broad range of solid tumor cancer indications including novel nucleic acid-based immunotherapies, anti-cancer DNA or RNA therapies, and heat sensitive liposomal formulations of known chemotherapeutics. With these technologies we are working to develop and commercialize efficient, effective and targeted therapeutics that minimize the side-effects common to cancer treatments.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and its wholly owned subsidiary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disclosures normally included in financial statements prepared in accordance with GAAP have been condensed or omitted pursuant to such rules and regulations.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nine-month periods ended September 30, 2018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2017 filed with the Securities and Exchange Commission (SEC) on March 27, 2018.</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We have not generated significant revenue and have incurred significant net losses in each year since our inception. We have incurred approximately $279 million of cumulated net losses. As of September 30, 2018, we had approximately $22.0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780" w:hanging="65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4"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69" w:lineRule="exact"/>
        <w:rPr>
          <w:rFonts w:ascii="Arial" w:cs="Arial" w:eastAsia="Arial" w:hAnsi="Arial"/>
          <w:sz w:val="18"/>
          <w:szCs w:val="18"/>
          <w:color w:val="auto"/>
        </w:rPr>
      </w:pPr>
    </w:p>
    <w:p>
      <w:pPr>
        <w:ind w:left="780" w:hanging="65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its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operations. The Company determined it met the eligibility requirements of the NOL Program for 2018 and filed its application with the New Jersey Economic Development Authority (NJEDA) in June 2018. In this application, the Company requested authorization of up to $12.5 million in cumulative New Jersey net operating losses to be eligible for sale. In September 2018, the NJEDA notified the Company that its application received approval under the NOL Program for 2018. The Company expects that the successful transfer of these credits will result in receipt of approximately $10 million in net cash proceeds to the Company prior to the end of 2018.</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$22.0 million in cash, investment securities and interest receivable at September 30, 2018 and the impending sale of its New Jersey NOLs, the Company believes it has sufficient capital resources to fund its operations into the fourth quarter of 2020. The Company will be required to obtain additional funding in order to continue the development of its current product candidates within the anticipated time periods, if at all, and to continue to fund operations. As more fully discussed in Note 11, the Company has $15.0 million available for future sale of equity securities under a common stock purchase agreement with Aspire Capital Fund, LLC.</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w:t>
      </w:r>
    </w:p>
    <w:p>
      <w:pPr>
        <w:spacing w:after="0" w:line="1" w:lineRule="exact"/>
        <w:rPr>
          <w:sz w:val="20"/>
          <w:szCs w:val="20"/>
          <w:color w:val="auto"/>
        </w:rPr>
      </w:pPr>
    </w:p>
    <w:p>
      <w:pPr>
        <w:jc w:val="both"/>
        <w:ind w:firstLine="8"/>
        <w:spacing w:after="0" w:line="266" w:lineRule="auto"/>
        <w:tabs>
          <w:tab w:leader="none" w:pos="386" w:val="left"/>
        </w:tabs>
        <w:numPr>
          <w:ilvl w:val="0"/>
          <w:numId w:val="4"/>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As further described in Note 15,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the equity method of accounting). This guidance is effective for fiscal years, and interim periods within those years, beginning after December 15, 2017. Based on the Company’s evaluation, the adoption of the ASU 2016-01 does not have a material impact on its consolidated financial statements or its disclosures.</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2016, the FASB issued Accounting Standards Update No. 2016-02, “Leases”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We are evaluating the impact of ASU 2016-2, which we plan to adopt on January 1, 2019, on our consolidated financial statements. To date, we have identified all of our leases which consist of the New Jersey corporate office lease and the Alabama lab facility lease, and we anticipate that adoption of ASU 2016-2 will result in the recognition of additional assets and lease liabilities, along with the associated recognition of amortization expense for the right-to-use assets.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2016, the FASB issued Accounting Standard Update No. 2016-15, “Statement of Cash Flows (Topic 230): Classification of Certain Cash Receipts and Cash Payments.” This update clarifies how certain cash receipts and payments should be presented in the statement of cash flows and is effective for interim and annual reporting periods beginning after December 15, 2017, with early adoption permitted. Based on the Company’s evaluation, the adoption of the ASU 2016-01 did not have a material impact on its consolidated financial statements or its disclosures.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November 2016, the FASB issued Accounting Standard Update No. 2016-18, Statement of Cash Flows (Topic 230): Restricted Cash. This update amends the guidance in ASC 230, including providing additional guidance related to transfers between cash and restricted cash and how entities present, in their statement of cash flows, the cash receipts and cash payments that directly affect the restricted cash accounts. This guidance is effective for annual reporting periods beginning after December 15, 2017, and interim periods within those years, with early adoption permitted. Based on the Company’s evaluation, the adoption of the ASU 2016 - 01 did not have a material impact on its consolidated financial statements or its disclosures.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2018, and interim periods within those years, with early adoption permitted. The Company does not believe the adoption of ASU 2017-01 will have an impact on our financial statement or disclosures.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Accounting Standard Update </w:t>
      </w:r>
      <w:r>
        <w:rPr>
          <w:rFonts w:ascii="Arial" w:cs="Arial" w:eastAsia="Arial" w:hAnsi="Arial"/>
          <w:sz w:val="17"/>
          <w:szCs w:val="17"/>
          <w:i w:val="1"/>
          <w:iCs w:val="1"/>
          <w:color w:val="auto"/>
        </w:rPr>
        <w:t>No. 2017</w:t>
      </w:r>
      <w:r>
        <w:rPr>
          <w:rFonts w:ascii="Arial" w:cs="Arial" w:eastAsia="Arial" w:hAnsi="Arial"/>
          <w:sz w:val="17"/>
          <w:szCs w:val="17"/>
          <w:color w:val="auto"/>
        </w:rPr>
        <w:t>-</w:t>
      </w:r>
      <w:r>
        <w:rPr>
          <w:rFonts w:ascii="Arial" w:cs="Arial" w:eastAsia="Arial" w:hAnsi="Arial"/>
          <w:sz w:val="17"/>
          <w:szCs w:val="17"/>
          <w:i w:val="1"/>
          <w:iCs w:val="1"/>
          <w:color w:val="auto"/>
        </w:rPr>
        <w:t>04,</w:t>
      </w:r>
      <w:r>
        <w:rPr>
          <w:rFonts w:ascii="Arial" w:cs="Arial" w:eastAsia="Arial" w:hAnsi="Arial"/>
          <w:sz w:val="17"/>
          <w:szCs w:val="17"/>
          <w:color w:val="auto"/>
        </w:rPr>
        <w:t xml:space="preserve"> “Intangibles-Goodwill and Other, Simplifying the Test for Goodwill Impairment,” which eliminated Step </w:t>
      </w:r>
      <w:r>
        <w:rPr>
          <w:rFonts w:ascii="Arial" w:cs="Arial" w:eastAsia="Arial" w:hAnsi="Arial"/>
          <w:sz w:val="17"/>
          <w:szCs w:val="17"/>
          <w:i w:val="1"/>
          <w:iCs w:val="1"/>
          <w:color w:val="auto"/>
        </w:rPr>
        <w:t>2</w:t>
      </w:r>
      <w:r>
        <w:rPr>
          <w:rFonts w:ascii="Arial" w:cs="Arial" w:eastAsia="Arial" w:hAnsi="Arial"/>
          <w:sz w:val="17"/>
          <w:szCs w:val="17"/>
          <w:color w:val="auto"/>
        </w:rPr>
        <w:t xml:space="preserve">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w:t>
      </w:r>
      <w:r>
        <w:rPr>
          <w:rFonts w:ascii="Arial" w:cs="Arial" w:eastAsia="Arial" w:hAnsi="Arial"/>
          <w:sz w:val="17"/>
          <w:szCs w:val="17"/>
          <w:i w:val="1"/>
          <w:iCs w:val="1"/>
          <w:color w:val="auto"/>
        </w:rPr>
        <w:t>not</w:t>
      </w:r>
      <w:r>
        <w:rPr>
          <w:rFonts w:ascii="Arial" w:cs="Arial" w:eastAsia="Arial" w:hAnsi="Arial"/>
          <w:sz w:val="17"/>
          <w:szCs w:val="17"/>
          <w:color w:val="auto"/>
        </w:rPr>
        <w:t xml:space="preserve"> exceed the total amount of goodwill allocated to that reporting unit. This ASU is effective for any interim or annual impairment tests for fiscal years beginning after December 15, 2019, with early adoption permitted. The Company adopted this method for its impairment testing of goodwill during 2017 and 2018. Based on the Company’s evaluation, the adoption of the ASU 2017-04 did not have any material impact on its consolidated financial statements or its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number of shares of common stock issuable upon exercise of warrants, stock option grants and equity awards were 6,496,261 and 6,208,389 shares for the three and nine-month periods ended September 30, 2018 and 2017, respectively. For the three and nine month periods ended September 30, 2018 and 2017, diluted loss per common share was the same as basic loss per common share as all options and all warrants that were exercisable into shares of the Company’s common stock were excluded from the calculation of diluted earnings attributable to common shareholders per common share as their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Short-term investments available for sale of $18,579,731 and $12,724,020 as of September 30, 2018 and December 31, 2017, respectively, consist of money market funds, commercial paper, corporate debt securities, and government agency debt securities. These investments are valued at estimated fair value, with unrealized gains and losses reported as a separate component of stockholders’ equity in accumulated other comprehensive loss.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2017</w:t>
            </w:r>
          </w:p>
        </w:tc>
      </w:tr>
      <w:tr>
        <w:trPr>
          <w:trHeight w:val="236"/>
        </w:trPr>
        <w:tc>
          <w:tcPr>
            <w:tcW w:w="3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Certificate of deposit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3,128,390</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3,144,875</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15,430,381</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15,434,856</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12,734,184</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12,724,020</w:t>
            </w:r>
          </w:p>
        </w:tc>
      </w:tr>
      <w:tr>
        <w:trPr>
          <w:trHeight w:val="216"/>
        </w:trPr>
        <w:tc>
          <w:tcPr>
            <w:tcW w:w="35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18,558,771</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18,579,731</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12,734,184</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12,724,020</w:t>
            </w:r>
          </w:p>
        </w:tc>
        <w:tc>
          <w:tcPr>
            <w:tcW w:w="100" w:type="dxa"/>
            <w:vAlign w:val="bottom"/>
            <w:tcBorders>
              <w:top w:val="single" w:sz="8" w:color="CCEEFF"/>
            </w:tcBorders>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5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2660" w:type="dxa"/>
            <w:vAlign w:val="bottom"/>
            <w:gridSpan w:val="6"/>
          </w:tcPr>
          <w:p>
            <w:pPr>
              <w:ind w:left="420"/>
              <w:spacing w:after="0"/>
              <w:rPr>
                <w:sz w:val="20"/>
                <w:szCs w:val="20"/>
                <w:color w:val="auto"/>
              </w:rPr>
            </w:pPr>
            <w:r>
              <w:rPr>
                <w:rFonts w:ascii="Arial" w:cs="Arial" w:eastAsia="Arial" w:hAnsi="Arial"/>
                <w:sz w:val="18"/>
                <w:szCs w:val="18"/>
                <w:b w:val="1"/>
                <w:bCs w:val="1"/>
                <w:color w:val="auto"/>
              </w:rPr>
              <w:t>December 31, 2017</w:t>
            </w:r>
          </w:p>
        </w:tc>
      </w:tr>
      <w:tr>
        <w:trPr>
          <w:trHeight w:val="236"/>
        </w:trPr>
        <w:tc>
          <w:tcPr>
            <w:tcW w:w="3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20"/>
                <w:szCs w:val="20"/>
                <w:color w:val="auto"/>
              </w:rPr>
            </w:pP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1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Within 3 months</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5,714,421</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5,724,554</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1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12,844,350</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12,855,177</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12,734,184</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12,724,020</w:t>
            </w:r>
          </w:p>
        </w:tc>
        <w:tc>
          <w:tcPr>
            <w:tcW w:w="80" w:type="dxa"/>
            <w:vAlign w:val="bottom"/>
            <w:shd w:val="clear" w:color="auto" w:fill="CCEEFF"/>
          </w:tcPr>
          <w:p>
            <w:pPr>
              <w:spacing w:after="0"/>
              <w:rPr>
                <w:sz w:val="21"/>
                <w:szCs w:val="21"/>
                <w:color w:val="auto"/>
              </w:rPr>
            </w:pPr>
          </w:p>
        </w:tc>
      </w:tr>
      <w:tr>
        <w:trPr>
          <w:trHeight w:val="216"/>
        </w:trPr>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18,558,771</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18,579,731</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12,734,184</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12,724,020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the Company’s investment securities gross unrealized gains (losses) and fair value by investment category and length of time that individual securities have been in a continuous unrealized loss position at September 30, 2018 and December 31, 2017. The Company has reviewed individual securities to determine whether a decline in fair value below the amortizable cost basis is other than temporary.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September 30, 2018</w:t>
            </w:r>
          </w:p>
        </w:tc>
        <w:tc>
          <w:tcPr>
            <w:tcW w:w="160" w:type="dxa"/>
            <w:vAlign w:val="bottom"/>
          </w:tcPr>
          <w:p>
            <w:pPr>
              <w:spacing w:after="0"/>
              <w:rPr>
                <w:sz w:val="20"/>
                <w:szCs w:val="20"/>
                <w:color w:val="auto"/>
              </w:rPr>
            </w:pPr>
          </w:p>
        </w:tc>
        <w:tc>
          <w:tcPr>
            <w:tcW w:w="276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197"/>
        </w:trPr>
        <w:tc>
          <w:tcPr>
            <w:tcW w:w="5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70"/>
              <w:spacing w:after="0" w:line="197"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0"/>
              <w:spacing w:after="0" w:line="197"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w w:val="91"/>
              </w:rPr>
              <w:t xml:space="preserve">Available for sale securities </w:t>
            </w:r>
            <w:r>
              <w:rPr>
                <w:rFonts w:ascii="Arial" w:cs="Arial" w:eastAsia="Arial" w:hAnsi="Arial"/>
                <w:sz w:val="18"/>
                <w:szCs w:val="18"/>
                <w:color w:val="auto"/>
                <w:w w:val="91"/>
              </w:rPr>
              <w:t>(all unrealized holding gains and losses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06"/>
        </w:trPr>
        <w:tc>
          <w:tcPr>
            <w:tcW w:w="5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1"/>
              </w:rPr>
              <w:t>Gains</w:t>
            </w:r>
          </w:p>
        </w:tc>
        <w:tc>
          <w:tcPr>
            <w:tcW w:w="0" w:type="dxa"/>
            <w:vAlign w:val="bottom"/>
          </w:tcPr>
          <w:p>
            <w:pPr>
              <w:spacing w:after="0"/>
              <w:rPr>
                <w:sz w:val="1"/>
                <w:szCs w:val="1"/>
                <w:color w:val="auto"/>
              </w:rPr>
            </w:pPr>
          </w:p>
        </w:tc>
      </w:tr>
      <w:tr>
        <w:trPr>
          <w:trHeight w:val="251"/>
        </w:trPr>
        <w:tc>
          <w:tcPr>
            <w:tcW w:w="5120" w:type="dxa"/>
            <w:vAlign w:val="bottom"/>
          </w:tcPr>
          <w:p>
            <w:pPr>
              <w:spacing w:after="0"/>
              <w:rPr>
                <w:sz w:val="20"/>
                <w:szCs w:val="20"/>
                <w:color w:val="auto"/>
              </w:rPr>
            </w:pPr>
            <w:r>
              <w:rPr>
                <w:rFonts w:ascii="Arial" w:cs="Arial" w:eastAsia="Arial" w:hAnsi="Arial"/>
                <w:sz w:val="18"/>
                <w:szCs w:val="18"/>
                <w:color w:val="auto"/>
              </w:rPr>
              <w:t>are less than 12 months at date of measurement)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1"/>
                <w:szCs w:val="21"/>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3"/>
              </w:rPr>
              <w:t>(Losses)</w:t>
            </w:r>
          </w:p>
        </w:tc>
        <w:tc>
          <w:tcPr>
            <w:tcW w:w="160" w:type="dxa"/>
            <w:vAlign w:val="bottom"/>
          </w:tcPr>
          <w:p>
            <w:pPr>
              <w:spacing w:after="0"/>
              <w:rPr>
                <w:sz w:val="21"/>
                <w:szCs w:val="21"/>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Fair Value</w:t>
            </w:r>
          </w:p>
        </w:tc>
        <w:tc>
          <w:tcPr>
            <w:tcW w:w="140" w:type="dxa"/>
            <w:vAlign w:val="bottom"/>
          </w:tcPr>
          <w:p>
            <w:pPr>
              <w:spacing w:after="0"/>
              <w:rPr>
                <w:sz w:val="21"/>
                <w:szCs w:val="21"/>
                <w:color w:val="auto"/>
              </w:rPr>
            </w:pPr>
          </w:p>
        </w:tc>
        <w:tc>
          <w:tcPr>
            <w:tcW w:w="12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gains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10,845,595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748,148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Investments with unrealized losses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7,734,136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(6,392)</w:t>
            </w: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11,975,872</w:t>
            </w: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18,579,731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12,724,020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103,777</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r>
      <w:tr>
        <w:trPr>
          <w:trHeight w:val="236"/>
        </w:trPr>
        <w:tc>
          <w:tcPr>
            <w:tcW w:w="7080" w:type="dxa"/>
            <w:vAlign w:val="bottom"/>
          </w:tcPr>
          <w:p>
            <w:pPr>
              <w:spacing w:after="0"/>
              <w:rPr>
                <w:sz w:val="20"/>
                <w:szCs w:val="20"/>
                <w:color w:val="auto"/>
              </w:rPr>
            </w:pPr>
            <w:r>
              <w:rPr>
                <w:rFonts w:ascii="Arial" w:cs="Arial" w:eastAsia="Arial" w:hAnsi="Arial"/>
                <w:sz w:val="18"/>
                <w:szCs w:val="18"/>
                <w:color w:val="auto"/>
              </w:rPr>
              <w:t>Realized gains</w:t>
            </w:r>
          </w:p>
        </w:tc>
        <w:tc>
          <w:tcPr>
            <w:tcW w:w="12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2,788</w:t>
            </w:r>
          </w:p>
        </w:tc>
        <w:tc>
          <w:tcPr>
            <w:tcW w:w="44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242,625</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8"/>
                <w:szCs w:val="18"/>
                <w:color w:val="auto"/>
              </w:rPr>
            </w:pPr>
          </w:p>
        </w:tc>
      </w:tr>
      <w:tr>
        <w:trPr>
          <w:trHeight w:val="236"/>
        </w:trPr>
        <w:tc>
          <w:tcPr>
            <w:tcW w:w="7080" w:type="dxa"/>
            <w:vAlign w:val="bottom"/>
          </w:tcPr>
          <w:p>
            <w:pPr>
              <w:spacing w:after="0"/>
              <w:rPr>
                <w:sz w:val="20"/>
                <w:szCs w:val="20"/>
                <w:color w:val="auto"/>
              </w:rPr>
            </w:pPr>
            <w:r>
              <w:rPr>
                <w:rFonts w:ascii="Arial" w:cs="Arial" w:eastAsia="Arial" w:hAnsi="Arial"/>
                <w:sz w:val="18"/>
                <w:szCs w:val="18"/>
                <w:color w:val="auto"/>
              </w:rPr>
              <w:t>Realized gains</w:t>
            </w:r>
          </w:p>
        </w:tc>
        <w:tc>
          <w:tcPr>
            <w:tcW w:w="12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11,125</w:t>
            </w:r>
          </w:p>
        </w:tc>
        <w:tc>
          <w:tcPr>
            <w:tcW w:w="44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3"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1" w:right="2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condensed consolidated balance sheet at their approximate estimated fair values primarily due to their short-term nature. There were no transfers of assets or liabilities between Level 1 and Level 2 and no transfers in or out of Level 3 during the nine months ended September 30, 2018 or 2017. All changes in Level 3 liabilities were the result of changes in the fair value of the earn-out milestone liability included in earnings (see Note 13).</w:t>
      </w:r>
    </w:p>
    <w:p>
      <w:pPr>
        <w:sectPr>
          <w:pgSz w:w="11900" w:h="16838" w:orient="portrait"/>
          <w:cols w:equalWidth="0" w:num="1">
            <w:col w:w="11420"/>
          </w:cols>
          <w:pgMar w:left="240" w:top="692" w:right="2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measured at fair value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25" w:lineRule="exact"/>
        <w:rPr>
          <w:sz w:val="20"/>
          <w:szCs w:val="20"/>
          <w:color w:val="auto"/>
        </w:rPr>
      </w:pPr>
    </w:p>
    <w:p>
      <w:pPr>
        <w:jc w:val="right"/>
        <w:ind w:right="1820"/>
        <w:spacing w:after="0" w:line="341" w:lineRule="auto"/>
        <w:rPr>
          <w:sz w:val="20"/>
          <w:szCs w:val="20"/>
          <w:color w:val="auto"/>
        </w:rPr>
      </w:pPr>
      <w:r>
        <w:rPr>
          <w:rFonts w:ascii="Arial" w:cs="Arial" w:eastAsia="Arial" w:hAnsi="Arial"/>
          <w:sz w:val="16"/>
          <w:szCs w:val="16"/>
          <w:color w:val="auto"/>
        </w:rPr>
        <w:t>Recurring items as of September 30, 2018 Investment securities, available for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For Identical</w:t>
            </w:r>
          </w:p>
        </w:tc>
        <w:tc>
          <w:tcPr>
            <w:tcW w:w="14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Assets/Liabilities</w:t>
            </w:r>
          </w:p>
        </w:tc>
        <w:tc>
          <w:tcPr>
            <w:tcW w:w="14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Total Fair Value</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(Level 2)</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(Level 3)</w:t>
            </w:r>
          </w:p>
        </w:tc>
      </w:tr>
      <w:tr>
        <w:trPr>
          <w:trHeight w:val="89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18,579,731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18,579,731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ind w:left="1020"/>
              <w:spacing w:after="0"/>
              <w:rPr>
                <w:sz w:val="20"/>
                <w:szCs w:val="20"/>
                <w:color w:val="auto"/>
              </w:rPr>
            </w:pPr>
            <w:r>
              <w:rPr>
                <w:rFonts w:ascii="Arial" w:cs="Arial" w:eastAsia="Arial" w:hAnsi="Arial"/>
                <w:sz w:val="18"/>
                <w:szCs w:val="18"/>
                <w:color w:val="auto"/>
                <w:w w:val="93"/>
              </w:rPr>
              <w:t>─</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-598805</wp:posOffset>
            </wp:positionV>
            <wp:extent cx="72466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-316230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60" w:space="400"/>
            <w:col w:w="616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Recurring items as of December 31, 2017</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available for sale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12,724,020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12,724,020</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September 30, 2018</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160" w:type="dxa"/>
            <w:vAlign w:val="bottom"/>
          </w:tcPr>
          <w:p>
            <w:pPr>
              <w:ind w:left="200"/>
              <w:spacing w:after="0"/>
              <w:rPr>
                <w:sz w:val="20"/>
                <w:szCs w:val="20"/>
                <w:color w:val="auto"/>
              </w:rPr>
            </w:pPr>
            <w:r>
              <w:rPr>
                <w:rFonts w:ascii="Arial" w:cs="Arial" w:eastAsia="Arial" w:hAnsi="Arial"/>
                <w:sz w:val="18"/>
                <w:szCs w:val="18"/>
                <w:color w:val="auto"/>
              </w:rPr>
              <w:t>Earn-out milestone liability (Note 13)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8,970,854</w:t>
            </w:r>
          </w:p>
        </w:tc>
        <w:tc>
          <w:tcPr>
            <w:tcW w:w="3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8,970,854</w:t>
            </w:r>
          </w:p>
        </w:tc>
      </w:tr>
      <w:tr>
        <w:trPr>
          <w:trHeight w:val="196"/>
        </w:trPr>
        <w:tc>
          <w:tcPr>
            <w:tcW w:w="4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Recurring items as of December 31, 2017</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Earn-out milestone liability (Note 13)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12,538,525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12,538,525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 of EGEN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5" w:name="page16"/>
    <w:bookmarkEnd w:id="15"/>
    <w:p>
      <w:pPr>
        <w:jc w:val="both"/>
        <w:spacing w:after="0" w:line="293" w:lineRule="auto"/>
        <w:rPr>
          <w:sz w:val="20"/>
          <w:szCs w:val="20"/>
          <w:color w:val="auto"/>
        </w:rPr>
      </w:pPr>
      <w:r>
        <w:rPr>
          <w:rFonts w:ascii="Arial" w:cs="Arial" w:eastAsia="Arial" w:hAnsi="Arial"/>
          <w:sz w:val="16"/>
          <w:szCs w:val="16"/>
          <w:color w:val="auto"/>
        </w:rPr>
        <w:t>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 (2) thereof. In addition, 47,862 shares of common stock were held back by us at the closing and are issuable to EGEN pending satisfactory resolution of any post-closing adjustments for expenses or in relation to EGEN’s indemnification obligations under the Asset Purchase Agreement (the “Holdback Shares”). These shares were issued to EGEN on June 16, 2017.</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its review in 2017, management concluded that there was no immediate opportunity to out-license TheraSilence. Because of this analysis, the earnout payments were adjusted prior to 2017. In conjunction with its review, management determined the earnout payments may be up to $24.4 million that may become payable, in cash, shares of our common stock or a combination thereof, at our option, upon achievement of the remaining two major milestone events as follows:</w:t>
      </w:r>
    </w:p>
    <w:p>
      <w:pPr>
        <w:spacing w:after="0" w:line="186" w:lineRule="exact"/>
        <w:rPr>
          <w:sz w:val="20"/>
          <w:szCs w:val="20"/>
          <w:color w:val="auto"/>
        </w:rPr>
      </w:pPr>
    </w:p>
    <w:p>
      <w:pPr>
        <w:ind w:left="580" w:right="20" w:hanging="343"/>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69" w:lineRule="exact"/>
        <w:rPr>
          <w:rFonts w:ascii="Arial" w:cs="Arial" w:eastAsia="Arial" w:hAnsi="Arial"/>
          <w:sz w:val="18"/>
          <w:szCs w:val="18"/>
          <w:color w:val="auto"/>
        </w:rPr>
      </w:pPr>
    </w:p>
    <w:p>
      <w:pPr>
        <w:ind w:left="580" w:right="20" w:hanging="343"/>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fair values of these assets acquired and liabilities assumed related to the acquisition.</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8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1,976,000</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8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2016, the Company determined one of the IPR&amp;D assets related to the development of its RNA delivery system being developed with collaborators using their RNA product candidates may be impaired and after an assessment, the Company concluded that this asset, valued at $1.4 million, was impaired. Therefore, the Company wrote off the value of this IPR&amp;D asset, incurring a non-cash charge of $1.4 million in the fourth quarter of 2016.</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At September 30, 2018 and 2017, after the Company’s annual assessments of the totality of the events that could impair IPR&amp;D, the Company determined certain IPR&amp;D assets related to the development of its glioblastoma multiforme cancer (GBM) product candidate may be impaired. To arrive at this determination, the Company assessed the status of studies in GBM conducted by its competitors and the Company’s strategic commitment of resources to its studies in primary liver cancer and ovarian cancer. The Company estimated the fair value of the IPR&amp;D related to GBM at September 30, 2018 and 2017 using the multi-period excess earnings method (MPEEM). After its assessment on September 30, 2017, the Company concluded that the GBM asset, valued at $9.4 million, was partially impaired and wrote down the GBM asset to $6.9 million on September 30, 2017, incurring a non-cash charge of $2.5 million in the third quarter of 2017. In connection with the write down of this IPR&amp;D asset on September 30, 2017, the Company concluded there was a reduced probability of payments of the earn-out milestones associated with the GBM asset and therefore reduced the earn-out milestone liability from $13.8 million to $12.5 million, recording a non-cash gain of approximately $1.3 million in the third quarter of 2017. After its assessment on September 30, 2018, the Company concluded that the GBM asset, valued at $6.9 million, was partially impaired and wrote down the GBM asset to $2.4 million on September 30, 2018, incurring a non-cash charge of $4.5 million in the third quarter of 2018. In connection with the write down of this IPR&amp;D asset, the Company concluded there was a reduced probability of payment of the earn-out milestones associated with the GBM asset and therefore reduced the earn-out milestone liability from $13.1 million to $9.0 million, recording a non-cash gain of approximately $4.1 million in the third quarter of 2018.</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As no other indicators of impairment existed during the first nine months of 2018, the Company concluded none of the other IPR&amp;D assets were impaired at September 30, 2018.</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and $170,487 in each of the three and nine-month periods ended September 30, 2018 and 2017, respectively. The carrying value of the Covenant Not to Compete was $625,121, net of $966,093 accumulated amortization, as of September 30, 2018 and $795,608, net of $795,606 accumulated amortization, as of December 31, 2017</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2018, we concluded that the Company’s fair value exceeded its carrying value therefore “it is not more likely than not” that the Goodwill was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as of September 30, 2018 and December 31, 2017 include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2017</w:t>
            </w:r>
          </w:p>
        </w:tc>
      </w:tr>
      <w:tr>
        <w:trPr>
          <w:trHeight w:val="188"/>
        </w:trPr>
        <w:tc>
          <w:tcPr>
            <w:tcW w:w="51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Amounts due to contract research organizations and</w:t>
            </w:r>
          </w:p>
        </w:tc>
        <w:tc>
          <w:tcPr>
            <w:tcW w:w="14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contractual agreements</w:t>
            </w:r>
          </w:p>
        </w:tc>
        <w:tc>
          <w:tcPr>
            <w:tcW w:w="1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730,811</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665,373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1,048,077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1,258,265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341,240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264,668</w:t>
            </w:r>
          </w:p>
        </w:tc>
      </w:tr>
      <w:tr>
        <w:trPr>
          <w:trHeight w:val="236"/>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94,521</w:t>
            </w:r>
          </w:p>
        </w:tc>
      </w:tr>
      <w:tr>
        <w:trPr>
          <w:trHeight w:val="229"/>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2,140,128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The Company will use the funding provided under the Horizon Credit Agreement for working capital and advancement of its product pipeline.</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 At its option, the Company can prepay all of the outstanding principal balance by prepaying the outstanding principal balance and an amount equal to 1-3% of the outstanding principal balance at that time, based on the amount of time prior to the maturity date of the notes.</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 Upon the occurrence of an event of default under the Horizon Credit Agreement, the lenders may cease making loans, terminate the Horizon Credit Agreement, declare all amounts outstanding to be immediately due and payable and foreclose on or liquidate Celsion’s assets that comprise the lenders’ collateral. The Horizon Credit Agreement specifies a number of events of default (some of which are subject to applicable grace or cure periods), including, among other things, non-payment defaults, covenant defaults, a material adverse effect on Celsion or its assets, cross-defaults to other material indebtedness, bankruptcy and insolvency defaults and material judgment defaults.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7"/>
          <w:szCs w:val="17"/>
          <w:color w:val="auto"/>
        </w:rPr>
        <w:t>As a fee in connection with the Horizon Credit Agreement, Celsion issued Horizon warrants exercisable for a total of 190,114 shares of Celsion’s common stock (the “Horizon Warrants”) at a per share exercise price of $2.63. The Horizon Warrants are immediately exercisable for cash or by net exercise from the date of grant and will expire after ten years from the date of grant. Celsion is required to register the common stock underlying the Horizon Warrants within 90 days from the date of grant and use its best efforts to keep it effective. The Company valued the Horizon Warrants issued using the Black-Scholes option pricing model and recorded a total of $507,116 as a direct deduction from the debt liability consistent with the presentation of a debt discount and are being amortized as interest expense using the effective interest method over the life of the loan.</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Horizon Credit Agreement, the Company incurred financing fees and expenses totaling $175,000 which are recorded and classified as debt discount. In addition, the Company paid loan origination fees of $100,000 which has been recorded and classified as debt discount. These debt discount amounts totaling $782,116 are being amortized as interest expense using the effective interest method over the life of the loan. Also, in connection with each of the Horizon Credit Agreements, the Company is required to pay an end of term charge equal to 4.0% of the original loan amount at time of maturity. Therefore, these amounts totaling $400,000 are being amortized as interest expense using the effective interest method over the life of the loan.</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nine-month periods ended September 30, 2018 the Company incurred $248,270 and $259,064, respectively, in interest expense and amortized $97,458 and $101,695, respectively, as interest expense for debt discounts and end of term charges in connection with the Horizon Credit Agreement.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principle payments, net of unamortized debt discounts and amortized end of term charges, due on the Horizon Credit Agreement:</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For the year ending</w:t>
            </w:r>
          </w:p>
        </w:tc>
      </w:tr>
      <w:tr>
        <w:trPr>
          <w:trHeight w:val="241"/>
        </w:trPr>
        <w:tc>
          <w:tcPr>
            <w:tcW w:w="8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September 30</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4,583,333</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r>
      <w:tr>
        <w:trPr>
          <w:trHeight w:val="249"/>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Subtotal of future principle payments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 net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(680,421)</w:t>
            </w:r>
          </w:p>
        </w:tc>
      </w:tr>
      <w:tr>
        <w:trPr>
          <w:trHeight w:val="216"/>
        </w:trPr>
        <w:tc>
          <w:tcPr>
            <w:tcW w:w="868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9,319,579</w:t>
            </w:r>
          </w:p>
        </w:tc>
        <w:tc>
          <w:tcPr>
            <w:tcW w:w="12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the second tranche, the Company had drawn down a total of $10 million under the Hercules Credit Agreement.</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obligations under the Hercules Credit Agreement were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30 -month amortization period of principal and interest through the scheduled maturity date of June 1, 2017. In connection with the Hercules Credit Agreement, the Company incurred cash expenses of $122,378 which were recorded as deferred financing fees. These deferred financing fees were amortized as interest expense using the effective interest method over the life of the loan. In addition, the Company paid loan origination fees of $230,000 which has been classified as debt discount. This amount is being amortized as interest expense using the effective interest method over the life of the loan.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67" w:lineRule="auto"/>
        <w:rPr>
          <w:sz w:val="20"/>
          <w:szCs w:val="20"/>
          <w:color w:val="auto"/>
        </w:rPr>
      </w:pPr>
      <w:r>
        <w:rPr>
          <w:rFonts w:ascii="Arial" w:cs="Arial" w:eastAsia="Arial" w:hAnsi="Arial"/>
          <w:sz w:val="17"/>
          <w:szCs w:val="17"/>
          <w:color w:val="auto"/>
        </w:rPr>
        <w:t>As a fee associated with the Hercules Credit Agreement, the Company issued Hercules a warrant for a total of 6,963 shares of the Company’s common stock (the Hercules Warrant) at a per share exercise price of $50.26, exercisable for cash or by net exercise from November 25, 2013. Upon the closing of the second tranche on June 10, 2014, this warrant became exercisable for an additional 6,963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first-year anniversary of the registration statement for such stock, whichever is earlier. The common stock issuable pursuant to the Hercules Warrant was filed pursuant to Rule 415 under the Securities Act of 1933 on the Prospectus for Registration Statement No. 333 - 193936 and was declared effective on September 30, 2014. The Company valued the Hercules Warrants issued using the Black-Scholes option pricing model and recorded a total of $476,261 as a direct deduction from the debt liability consistent with the presentation of a debt discount and are being amortized as interest expense using the effective interest method over the life of the loan. Also, in connection with each of the $5.0 million tranches, the Company was required to pay an end of term charge equal to 3.5% of each original loan amount at time of maturity. Therefore, these amounts totaling $350,000 were amortized as interest expense using the effective interest method over the life of the loan. The loan balance and end of term charges on the Hercules Credit Agreement was paid in full in June 2017. For the three-month period ended September 30, 2017 the Company did not incur any interest expense and it did not amortize any interest expense for deferred fees, debt discount and end of term charges in connection with the Hercules Credit Agreement. For the nine-month period ended September 30, 2017, the Company incurred $56,386 in interest expense and amortized $35,370 as interest expense for deferred fees, debt discount and end of term charges in connection with the Hercules Credit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2015, the Company filed with the SEC a $75 million shelf registration statement on Form S-3 (the 2015 Shelf Registration Statement) (File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333-206789) that allows the Company to issue any combination of common stock, preferred stock or warrants to purchase common stock or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shelf registration was declared effective on September 25, 2015. The 2015 Shelf Registration Statement expired on September 25, 2018.</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the Company filed with the SEC a new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Increase in the Number of Authorized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2016 Annual Meeting of Stockholders of the Company in June 2016, the Company’s stockholders approved an increase in the number of the authorized shares of the Company’s common stock from 75,000,000 shares to 112,500,000 shares. The number of the authorized shares of preferred stock remains at 100,000 shares. The aggregate number of shares of all classes of stock that the Company may issue, after giving effect to such amendment as approved by the stockholders, will be 112,600,000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26, 2017, the Company effected a 14-for-1 reverse stock split of its common stock which was made effective for trading purposes as of the commencement of trading on May 30, 2017. As of that date, each 14 shares of issued and outstanding common stock and equivalents was consolidated into one share of common stock. All shares have been restated to reflect the effects of the 14-for-1 reverse stock split. In addition, at the market open on May 30, 2017, the Company’s common stock started trading under a new CUSIP number 15117N503 although the Company’s ticker symbol, CLSN, remained unchanged.</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reverse stock split was previously approved by the Company’s stockholders at the 2017 Annual Meeting held on May 16, 2017, and the Company subsequently filed a Certificate of Amendment to its Certificate of Incorporation to effect the stock consolidation. The primary reasons for the reverse stock split and the amendment are:</w:t>
      </w:r>
    </w:p>
    <w:p>
      <w:pPr>
        <w:spacing w:after="0" w:line="183" w:lineRule="exact"/>
        <w:rPr>
          <w:sz w:val="20"/>
          <w:szCs w:val="20"/>
          <w:color w:val="auto"/>
        </w:rPr>
      </w:pPr>
    </w:p>
    <w:p>
      <w:pPr>
        <w:ind w:left="780" w:hanging="651"/>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increase the market price of the Company’s common stock making it more attractive to a broader range of institutional and other investors, and</w:t>
      </w:r>
    </w:p>
    <w:p>
      <w:pPr>
        <w:spacing w:after="0" w:line="247" w:lineRule="exact"/>
        <w:rPr>
          <w:rFonts w:ascii="Arial" w:cs="Arial" w:eastAsia="Arial" w:hAnsi="Arial"/>
          <w:sz w:val="16"/>
          <w:szCs w:val="16"/>
          <w:color w:val="auto"/>
        </w:rPr>
      </w:pPr>
    </w:p>
    <w:p>
      <w:pPr>
        <w:ind w:left="780" w:hanging="651"/>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both"/>
        <w:spacing w:after="0" w:line="275" w:lineRule="auto"/>
        <w:rPr>
          <w:sz w:val="20"/>
          <w:szCs w:val="20"/>
          <w:color w:val="auto"/>
        </w:rPr>
      </w:pPr>
      <w:r>
        <w:rPr>
          <w:rFonts w:ascii="Arial" w:cs="Arial" w:eastAsia="Arial" w:hAnsi="Arial"/>
          <w:sz w:val="17"/>
          <w:szCs w:val="17"/>
          <w:color w:val="auto"/>
        </w:rPr>
        <w:t>Immediately prior to the reverse stock split, the Company had 56,982,418 shares of common stock outstanding which consolidated into 4,070,172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2.4 million to approximately 0.2 million and outstanding warrants being reduced from approximately 33.5 million to approximately 2.4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October 2017 </w:t>
      </w: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27, 2017, the Company entered into an underwriting agreement (the “Underwriting Agreement”) with Oppenheimer &amp; Co. Inc. (the “Underwriter”), relating to the issuance and sale (the “October 2017 Underwritten Offering”) of 2,640,000 shares (the “Shares”) of the Company’s common stock, $0.01 par value per share (the “Common Stock”), and warrants to purchase an aggregate of 1,320,000 shares of Common Stock. Each share of Common Stock is being sold together with 0.5 warrants (the “Investor Warrants”), each whole Investor Warrant being exercisable for one share of Common Stock, at an offering price of $2.50 per share and related Investor Warrants.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Underwriting Agreement, the Underwriter agreed to purchase the Shares and related Investor Warrants from the Company at a price of $2.325 per share and related Investor Warrants. Each Investor Warrant is exercisable six months from the date of issuance. The Investor Warrants have an exercise price of $3.00 per whole share and expire five years from the date first exercisable.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received $6.6 million of gross proceeds from the sale of the Shares and Investor Warrant. The October 2017 Underwritten Offering was made pursuant to the 2015 Shelf Registration Statement and the related prospectus supplement. The Company also issued to the Underwriter warrants to purchase up to 66,000 shares of the Company’s common stock, such issuance being exempt from registration pursuant to Section 4(a)(2) of the Securities Act. Each Underwriter warrant is exercisable six months from the date of issuance, have an exercise price of $2.87 per whole share, and expire five years from the date first exercisable</w:t>
      </w:r>
      <w:r>
        <w:rPr>
          <w:rFonts w:ascii="Arial" w:cs="Arial" w:eastAsia="Arial" w:hAnsi="Arial"/>
          <w:sz w:val="18"/>
          <w:szCs w:val="18"/>
          <w:i w:val="1"/>
          <w:iCs w:val="1"/>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July 6, 2017 </w:t>
      </w:r>
      <w:r>
        <w:rPr>
          <w:rFonts w:ascii="Arial" w:cs="Arial" w:eastAsia="Arial" w:hAnsi="Arial"/>
          <w:sz w:val="18"/>
          <w:szCs w:val="18"/>
          <w:i w:val="1"/>
          <w:iCs w:val="1"/>
          <w:u w:val="single" w:color="auto"/>
          <w:color w:val="auto"/>
        </w:rPr>
        <w:t>Common Stock Offering</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are immediately exercisable for $0.01 per share of common stock and do not have an expiration date.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 During the fourth quarter of 2017, all 385,000 of the Series CCC Pre-Funded warrants were exercised in full.</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4, 2017, the Company entered into letter agreements (the “Exercise Agreements”) with the holders of the Series AAA and Series BBB Warrants issued in the July 6, 2017 Common Stock Offering (the “Exercising Holders”). The Exercise Agreements amended the Series AAA Warrants to permit their immediate exercise. Prior to the execution of the Exercise Agreements, the Series AAA Warrants were not exercisable until January 11, 2018. Pursuant to the Exercise Agreements, the Exercising Holders and the Company agreed that the Exercising Holders would exercise all of their Existing Warrants with respect to 4,665,000 shares of Common Stock underlying such Existing Warrants. The Series AAA Warrants and Series BBB Warrants were exercised at a price of $2.07 per share and $4.75 per share, respectively, which were their respective original exercise prices. The Company received approximately $16.6 million in gross proceeds from the sale of these warrants.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The Exercise Agreements also provide for the issuance of 1,166,250 Series DDD Warrants, each to purchase one share of Common Stock (the “Series DDD Warrants”). The Series DDD Warrants have an exercise price $6.20, are exercisable one year following issuance and terminate six months after they are initially exercisable. The Series DDD Warrants and the shares of Common Stock issuable upon the exercise of the Series DDD Warrants were offered pursuant to the exemption provided in Section 4(a)(2) under the Securities Act or Rule 506(b) promulgated thereunder. Pursuant to the Exercise Agreements, the Series DDD Warrants shall be substantially in the form of the Existing Warrants and the Company will be required to register for resale the shares of Common Stock underlying the Series DDD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February 14, 2017 </w:t>
      </w:r>
      <w:r>
        <w:rPr>
          <w:rFonts w:ascii="Arial" w:cs="Arial" w:eastAsia="Arial" w:hAnsi="Arial"/>
          <w:sz w:val="18"/>
          <w:szCs w:val="18"/>
          <w:i w:val="1"/>
          <w:iCs w:val="1"/>
          <w:u w:val="single" w:color="auto"/>
          <w:color w:val="auto"/>
        </w:rPr>
        <w:t>Public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14, 2017, the Company entered into a securities purchase agreement whereby it sold, in a public offering (the “February 2017 Public Offering”), an aggregate of 1,384,704 shares of common stock of the Company at an offering price of $3.22 per share. In addition, the Company sold Series AA Warrants (the “Series AA Warrants”) to purchase up to 1,177,790 shares of common stock and Pre-Funded Series BB Warrants (the “Pre-Funded Series BB Warrants”) to purchase up to 185,713 shares of common stock. The Series AA Warrants have an exercise price of $3.22 per share, have a five-year life and are immediately exercisable. The Pre-Funded Series BB Warrants were offered at $3.08 per share, were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2017 Public Offering.</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February 2017 Public Offering, the Company filed with the SEC a registration statement on Form S-1 (Registration No. 333-215321) on December 23, 2016, as amended by Pre-Effective Amendment No. 1 filed with the Commission on January 20, 2017, as further amended by Pre-Effective Amendment No. 2 filed with the Commission on February 13, 2017, as further amended by Pre-Effective Amendment No. 3 filed with the Commission on February 13, 2017 and as further amended by Pre-Effective Amendment No. 4 filed with the Commission on February 14, 2017 for the registration of the securities issued and sold under the Securities Act of 1933, as amended.</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all 185,713 of the Series BB Pre-Funded warrants were exercised in full. During 2017, we received approximately $2.4 million from the exercise of Series AA Warrants to purchase 747,254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Reduced Exercise Price of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22, 2013, the Company entered into a securities purchase agreement with certain investors pursuant to which the Company agreed, among other things, to issue warrants (the “2013 Warrants”) to purchase up to 95,811 shares of our common stock at an exercise price of $74.34 per share to such investors in a registered direct offering. On January 15, 2014, the Company entered into a securities purchase agreement with certain investors pursuant to which the Company agreed, among other things, to issue warrants (the “2014 Warrants”) to purchase up to 64,348 shares of our common stock at an exercise price of $57.40 per share to such investors in a registered direct offering. On June 9, 2017, the Company entered into warrant exercise agreements (the “Exercise Agreements”) with certain holders of the 2013 Warrants, the 2014 Warrants and the June 2016 Warrants (the “Exercising Holders”), which Exercising Holders own, in the aggregate, warrants exercisable for 790,410 shares of our common stock. Pursuant to the Exercise Agreements, the Exercising Holders and the Company agreed that the Exercising Holders would exercise their 2013 Warrants, the 2014 Warrants and the June 2016 Warrants with respect to 790,410 shares of our common stock underlying such warrants for a reduced exercise price equal to $2.70 per share. The Company received aggregate gross proceeds of approximately $2.1 million from the exercise of the 2013 Warrants, the 2014 Warrants and the June 2016 Warrants by the Exercising Holders.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reduced exercise price of the 2013 Warrants, the 2014 Warrants and the June 2016 Series C Warrants increased the fair value of the warrants by approximately $0.2 million. This increase in fair value is recorded as a deemed dividend in additional paid in capital due to the retained deficit and it increased the net loss available to common shareholders on the consolidate statement of operations.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27, 2015, the Company entered into a securities purchase agreement with certain investors pursuant to which the Company agreed, among other things, to issue warrants (the “2015 Warrants”) to purchase up to 139,284 shares of the Company’s common stock at an exercise price of $36.40 per share, to such investors in a registered direct offering. Between June 22, 2017 through June 26, 2017, the Company and holders of the 2015 Warrants and the December 2016 Warrants (the “Exercising Investors”) entered into agreements whereby the Company agreed that the Exercising investors would exercise their 2015 Warrants and the June 2016 Warrants with respect to 506,627 shares of our common stock underlying such warrants for a reduced exercise price equal to $1.65 per share. The Company received aggregate gross proceeds of approximately $0.8 million from the exercise of the 2015 Warrants and the June 2016 Warrants by the Exercising Investors.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The reduced exercise price of the 2015 Warrants increased the fair value of the warrants by approximately $0.1 million. This increase in fair value is recorded as a deemed dividend in additional paid in capital due to the retained deficit and it increased the net loss available to common shareholders on the consolidate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Purchase Agreement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31, 2018, we entered into a common stock purchase agreement (the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of the shares of common stock that may be offered to Aspire Capital from time to time.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Aspire Purchase Agreement, on any trading day selected by the Company, the Company has the right, in its sole discretion, to present Aspire Capital with a purchase notice (each, a “Purchase Notice”), directing Aspire Capital (as principal) to purchase up to 100,000 shares of the Company’s common stock per business day, up to $15.0 million of the Company’s common stock in the aggregate at a per share price (the “Purchase Price”) equal to the lesser of:</w:t>
      </w:r>
    </w:p>
    <w:p>
      <w:pPr>
        <w:spacing w:after="0" w:line="18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on any date on which the Company submits a Purchase Notice to Aspire Capital in an amount equal to at least 100,000 shares, the Company also has the right, in its sole discretion, to present Aspire Capital with a volume-weighted average price purchase notice (each, a “VWAP Purchase Notice”) directing Aspire Capital to purchase an amount of stock equal to up to 30% of the aggregate shares of the Company’s common stock traded on its principal market on the next trading day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Price will be adjusted for any reorganization, recapitalization, non-cash dividend, stock split, or other similar transaction occurring during the period(s) used to compute the Purchase Price. The Company may deliver multiple Purchase Notices and VWAP Purchase Notices to Aspire Capital from time to time during the term of the Purchase Agreement, so long as the most recent purchase has been completed.</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are no trading volume requirements or restrictions under the Purchase Agreement, and the Company will control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fundings, rights of first refusal, participation rights, penalties or liquidated damages in the Purchase Agreement. In consideration for entering into the Purchase Agreement, concurrently with the execution of the Purchase Agreement, the Company issued to Aspire Capital 164,835 shares of the Company’s common stock (the “Commitment Shares”). The Company’s policy is to record specific incremental costs directly attributable to an offering as a charge against the gross proceeds, if any, when the offering becomes effective. These Commitment Shares valued at $450,000 were recorded in September 2018 as costs of equity financing and charged against additional paid-in capital. The Aspire Purchase Agreement may be terminated by the Company at any time, at its discretion, without any cost to the Company. Aspire Capital has agreed that neither it nor any of its agents, representatives and affiliates shall engage in any direct or indirect short-selling or hedging of the Company’s common stock during any time prior to the termination of the Purchase Agreement. Any proceeds from the Company receives under the Aspire Purchase Agreement are expected to be used for working capital and general corporate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could offer and sell, from time to time, through Cantor, shares of our common stock having an aggregate offering price of up to $25.0 million (the “ATM Shares”) pursuant to the 2015 Shelf Registration Statement.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our common stock or to or through a market maker. On October 10, 2018, the Company delivered notice to Cantor terminating the ATM effective as of October 20, 2018. The Company has no further obligations under the Sales Agreement. From February 1, 2013 through September 30, 2018, the Company sold and issued an aggregate of 1,784,396 shares of common stock under the ATM Agreement, receiving approximately $12.8 million in gross proceeds.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 based-awards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Prior to the adoption of the 2018 Plan, the Company had maintained the Celsion Corporation 2007 Stock Incentive Plan (the 2007 Plan). 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28, 2018, the Compensation Committee of the Board of Directors approved the grant of (i) inducement stock options (the “Inducement Option Grants”) to purchase a total of 164,004 shares of Celsion common stock and (ii) inducement restricted stock awards (the “Inducement Stock Grants”) totaling 19,000 shares of Celsion common stock to three new employees. All awards have a grant date of September 28, 2018. Each of Inducement Option Grant has an exercise price per share equal to $2.77, the closing price of Celsion’s common stock as reported by Nasdaq on September 28, 2018.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will vest on the one-year anniversary of the employee’s first day of employment with the Company and are subject to the new employee’s continued service relationship with the Company through such date and is subject to the terms and conditions of the applicable restricted stock agreement.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there were a total of 3,399,893 shares of Celsion common stock reserved for issuance under the 2018 Plan, which were comprised of 3,064,741 shares of Celsion common stock subject to equity awards previously granted under the 2018 Plan and 2007 Plan and 335,152 shares of Celsion common stock available for future issuance under the 2018 Plan. As of September 30, 2018, there were a total of 183,004 of Celsion common stock subject to outstanding inducement awards.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Total compensation cost charged related to stock options and restricted stock awards amounted to $614,528 and $146,896 for the three-month periods ended September 30, 2018 and 2017, respectively. Total compensation cost charged related to stock options and restricted stock awards amounted to $3,985,829 and $951,488 for the nine-month periods ended September 30, 2018 and 2017, respectively. As of September 30, 2018, there was $2.5 million of total unrecognized compensation cost related to non-vested stock-based compensation arrangements. That cost is expected to be recognized over a weighted-average period of 1.1 years. The weighted average grant date fair values of the stock options granted during then nine-month periods ended September 30, 2018 and 2017 was $2.36 and $2.69,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awards and restricted stock grants for the nine-months ended September 30, 2018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55"/>
        </w:trPr>
        <w:tc>
          <w:tcPr>
            <w:tcW w:w="4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Stock Options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6"/>
          </w:tcPr>
          <w:p>
            <w:pPr>
              <w:ind w:left="280"/>
              <w:spacing w:after="0"/>
              <w:rPr>
                <w:sz w:val="20"/>
                <w:szCs w:val="20"/>
                <w:color w:val="auto"/>
              </w:rPr>
            </w:pPr>
            <w:r>
              <w:rPr>
                <w:rFonts w:ascii="Arial" w:cs="Arial" w:eastAsia="Arial" w:hAnsi="Arial"/>
                <w:sz w:val="18"/>
                <w:szCs w:val="18"/>
                <w:b w:val="1"/>
                <w:bCs w:val="1"/>
                <w:color w:val="auto"/>
              </w:rPr>
              <w:t>Restricted Stock Awards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97"/>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70"/>
              <w:spacing w:after="0" w:line="197"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24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Non-vested</w:t>
            </w: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Terms of</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Restricted</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Grant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100" w:type="dxa"/>
            <w:vAlign w:val="bottom"/>
            <w:vMerge w:val="restart"/>
          </w:tcPr>
          <w:p>
            <w:pPr>
              <w:spacing w:after="0"/>
              <w:rPr>
                <w:sz w:val="20"/>
                <w:szCs w:val="20"/>
                <w:color w:val="auto"/>
              </w:rPr>
            </w:pPr>
            <w:r>
              <w:rPr>
                <w:rFonts w:ascii="Arial" w:cs="Arial" w:eastAsia="Arial" w:hAnsi="Arial"/>
                <w:sz w:val="18"/>
                <w:szCs w:val="18"/>
                <w:color w:val="auto"/>
              </w:rPr>
              <w:t>Equity Awards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41"/>
        </w:trPr>
        <w:tc>
          <w:tcPr>
            <w:tcW w:w="4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Outstanding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January 1, 2018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703,442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2,629,004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(113,701)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September 30, 2018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3,218,745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 intrinsic value of outstanding equity awards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1,384,245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September 30, 2018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1,677,998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Aggregate intrinsic value of equity awards exercisable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706,552</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rPr>
              <w:t>21</w:t>
            </w: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option pricing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7300" w:type="dxa"/>
            <w:vAlign w:val="bottom"/>
          </w:tcPr>
          <w:p>
            <w:pPr>
              <w:spacing w:after="0"/>
              <w:rPr>
                <w:sz w:val="20"/>
                <w:szCs w:val="20"/>
                <w:color w:val="auto"/>
              </w:rPr>
            </w:pPr>
          </w:p>
        </w:tc>
        <w:tc>
          <w:tcPr>
            <w:tcW w:w="39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Nine Months Ended September 30,</w:t>
            </w:r>
          </w:p>
        </w:tc>
      </w:tr>
      <w:tr>
        <w:trPr>
          <w:trHeight w:val="236"/>
        </w:trPr>
        <w:tc>
          <w:tcPr>
            <w:tcW w:w="7300" w:type="dxa"/>
            <w:vAlign w:val="bottom"/>
            <w:tcBorders>
              <w:bottom w:val="single" w:sz="8" w:color="CCEEFF"/>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CCEEFF"/>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 – 3.02%</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99.9 -102.1%</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90.4%</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8.0 - 10.0</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 Starting in 2017, the Company elected to account for any forfeitures when they occur.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2018, June 30, 2018 and December 31, 2017, the Company fair valued these milestones at $9.0 million, $13.1 million and $12.5 million, respectively, and recognized a non-cash gain of $4,114,995 and $3,567,671 during the three and nine months ended September 30, 2018 as a result of the change in the fair value of these milestones from the beginning of each period, respectively.</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2017, June 30, 2017 and December 31, 2016, the Company fair valued these milestones at $12.5 million, $13.8 million and $13.2 million, respectively, and recognized a non-cash gain of $1,246,151 and $670,172 during the three and nine months ended September 30, 2017 as a result of the change in the fair value of these milestones from the beginning of each period,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3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12,538,525</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6720" w:type="dxa"/>
            <w:vAlign w:val="bottom"/>
            <w:gridSpan w:val="5"/>
          </w:tcPr>
          <w:p>
            <w:pPr>
              <w:spacing w:after="0"/>
              <w:rPr>
                <w:sz w:val="20"/>
                <w:szCs w:val="20"/>
                <w:color w:val="auto"/>
              </w:rPr>
            </w:pPr>
            <w:r>
              <w:rPr>
                <w:rFonts w:ascii="Arial" w:cs="Arial" w:eastAsia="Arial" w:hAnsi="Arial"/>
                <w:sz w:val="18"/>
                <w:szCs w:val="18"/>
                <w:color w:val="auto"/>
              </w:rPr>
              <w:t>Non-cash gain from the adjustment for the change in fair value</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(3,567,671)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2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Balance at September 30, 2018</w:t>
            </w:r>
          </w:p>
        </w:tc>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6"/>
            <w:vMerge w:val="restart"/>
          </w:tcPr>
          <w:p>
            <w:pPr>
              <w:spacing w:after="0"/>
              <w:rPr>
                <w:sz w:val="20"/>
                <w:szCs w:val="20"/>
                <w:color w:val="auto"/>
              </w:rPr>
            </w:pPr>
            <w:r>
              <w:rPr>
                <w:rFonts w:ascii="Arial" w:cs="Arial" w:eastAsia="Arial" w:hAnsi="Arial"/>
                <w:sz w:val="18"/>
                <w:szCs w:val="18"/>
                <w:color w:val="auto"/>
                <w:w w:val="92"/>
              </w:rPr>
              <w:t>The following is a schedule of the Company’s risk-adjustment assessment of each milestone:</w:t>
            </w: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40" w:type="dxa"/>
            <w:vAlign w:val="bottom"/>
            <w:gridSpan w:val="6"/>
            <w:vMerge w:val="continue"/>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7"/>
              </w:rPr>
              <w:t>Risk-adjustment Assessment</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Estimated Time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2520" w:type="dxa"/>
            <w:vAlign w:val="bottom"/>
            <w:gridSpan w:val="2"/>
          </w:tcPr>
          <w:p>
            <w:pPr>
              <w:ind w:left="920"/>
              <w:spacing w:after="0"/>
              <w:rPr>
                <w:sz w:val="20"/>
                <w:szCs w:val="20"/>
                <w:color w:val="auto"/>
              </w:rPr>
            </w:pPr>
            <w:r>
              <w:rPr>
                <w:rFonts w:ascii="Arial" w:cs="Arial" w:eastAsia="Arial" w:hAnsi="Arial"/>
                <w:sz w:val="18"/>
                <w:szCs w:val="18"/>
                <w:color w:val="auto"/>
              </w:rPr>
              <w:t>Date</w:t>
            </w:r>
          </w:p>
        </w:tc>
        <w:tc>
          <w:tcPr>
            <w:tcW w:w="42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8"/>
              </w:rPr>
              <w:t>of each Milestone</w:t>
            </w:r>
          </w:p>
        </w:tc>
        <w:tc>
          <w:tcPr>
            <w:tcW w:w="2500" w:type="dxa"/>
            <w:vAlign w:val="bottom"/>
            <w:gridSpan w:val="4"/>
          </w:tcPr>
          <w:p>
            <w:pPr>
              <w:jc w:val="right"/>
              <w:ind w:right="1247"/>
              <w:spacing w:after="0"/>
              <w:rPr>
                <w:sz w:val="20"/>
                <w:szCs w:val="20"/>
                <w:color w:val="auto"/>
              </w:rPr>
            </w:pPr>
            <w:r>
              <w:rPr>
                <w:rFonts w:ascii="Arial" w:cs="Arial" w:eastAsia="Arial" w:hAnsi="Arial"/>
                <w:sz w:val="18"/>
                <w:szCs w:val="18"/>
                <w:color w:val="auto"/>
              </w:rPr>
              <w:t>Discount Rate</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to Achieve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420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1"/>
              </w:rPr>
              <w:t>0% to 80%</w:t>
            </w:r>
          </w:p>
        </w:tc>
        <w:tc>
          <w:tcPr>
            <w:tcW w:w="17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0.00 to 1.17 year</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4200" w:type="dxa"/>
            <w:vAlign w:val="bottom"/>
            <w:gridSpan w:val="3"/>
          </w:tcPr>
          <w:p>
            <w:pPr>
              <w:jc w:val="center"/>
              <w:ind w:right="640"/>
              <w:spacing w:after="0"/>
              <w:rPr>
                <w:sz w:val="20"/>
                <w:szCs w:val="20"/>
                <w:color w:val="auto"/>
              </w:rPr>
            </w:pPr>
            <w:r>
              <w:rPr>
                <w:rFonts w:ascii="Arial" w:cs="Arial" w:eastAsia="Arial" w:hAnsi="Arial"/>
                <w:sz w:val="18"/>
                <w:szCs w:val="18"/>
                <w:color w:val="auto"/>
                <w:w w:val="90"/>
              </w:rPr>
              <w:t>35% to 80%</w:t>
            </w: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0.83 to 1.00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420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0"/>
              </w:rPr>
              <w:t>35% to 80%</w:t>
            </w:r>
          </w:p>
        </w:tc>
        <w:tc>
          <w:tcPr>
            <w:tcW w:w="17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1.33 to 1.50 years</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420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0"/>
              </w:rPr>
              <w:t>35% to 80%</w:t>
            </w:r>
          </w:p>
        </w:tc>
        <w:tc>
          <w:tcPr>
            <w:tcW w:w="17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1.25 to 1.75 years</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June 30, 2017</w:t>
            </w:r>
          </w:p>
        </w:tc>
        <w:tc>
          <w:tcPr>
            <w:tcW w:w="4200" w:type="dxa"/>
            <w:vAlign w:val="bottom"/>
            <w:gridSpan w:val="3"/>
          </w:tcPr>
          <w:p>
            <w:pPr>
              <w:jc w:val="center"/>
              <w:ind w:right="640"/>
              <w:spacing w:after="0"/>
              <w:rPr>
                <w:sz w:val="20"/>
                <w:szCs w:val="20"/>
                <w:color w:val="auto"/>
              </w:rPr>
            </w:pPr>
            <w:r>
              <w:rPr>
                <w:rFonts w:ascii="Arial" w:cs="Arial" w:eastAsia="Arial" w:hAnsi="Arial"/>
                <w:sz w:val="18"/>
                <w:szCs w:val="18"/>
                <w:color w:val="auto"/>
                <w:w w:val="90"/>
              </w:rPr>
              <w:t>50% to 80%</w:t>
            </w: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1.50 to 2.00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420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0"/>
              </w:rPr>
              <w:t>50% to 80%</w:t>
            </w:r>
          </w:p>
        </w:tc>
        <w:tc>
          <w:tcPr>
            <w:tcW w:w="17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2.00 to 2.50 years</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Note 14. Warrants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w w:val="94"/>
              </w:rPr>
              <w:t>Following is a summary of all warrant activity for the nine months ended September 30, 2018: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Number of</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Warrants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7060" w:type="dxa"/>
            <w:vAlign w:val="bottom"/>
            <w:gridSpan w:val="2"/>
          </w:tcPr>
          <w:p>
            <w:pPr>
              <w:ind w:left="12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Issued</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6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3,058,402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issued during the nine months ended September 30, 2018 (see Note 10)</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190,114</w:t>
            </w:r>
          </w:p>
        </w:tc>
        <w:tc>
          <w:tcPr>
            <w:tcW w:w="5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20" w:type="dxa"/>
            <w:vAlign w:val="bottom"/>
            <w:vMerge w:val="continue"/>
          </w:tcPr>
          <w:p>
            <w:pPr>
              <w:spacing w:after="0"/>
              <w:rPr>
                <w:sz w:val="24"/>
                <w:szCs w:val="24"/>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outstanding at September 30, 2018</w:t>
            </w: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3,248,516</w:t>
            </w:r>
          </w:p>
        </w:tc>
        <w:tc>
          <w:tcPr>
            <w:tcW w:w="5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vMerge w:val="restart"/>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Aggregate intrinsic value of outstanding warrants at September 30, 2018</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69,229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Weighted average remaining contractual terms at September 30, 2018 (in years)</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29, 2018, the Company and certain investors holding warrants to collectively purchase 1.6 million shares of the Company’s common stock, which were received in the February 2017 Public Offering and the October 2017 Underwritten Offering, entered into warrant exchange agreements whereby the Company issued 820,714 shares of its common stock in exchange for the warrants. After the warrant exchange, warrants outstanding totaled 1.6 million with a weighted average exercise price of $5.75 per share. Approximately 1.2 million of these outstanding warrants with a strike price of $6.20 per share will expire on April 4,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 and Commitments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was reduced by $50,000 on each of the 19th, 31st and 43rd months from the initial term, and the remaining $100,000 amount was reduced when the Lease term expired in April 2017. In late 2015, Lenox Drive Office Park LLC, purchased the real estate and office building and assumed the lease. This lease was set to expire on April 30, 2017. In April 2017, the Company and the landlord amended the Lease effective May 1, 2017. The Lease amendment extended the term of the agreement for an additional 64 months, reduced the premises to 7,565 square feet, reduced the monthly rent and provided four months free rent. The monthly rent will range from approximately $18,900 in the first year to approximately $20,500 in the final year of the amendment. The Company also has a one-time option to cancel the lease as of the 24th month after the commencement date of the Lease amendment.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EGEN Asset Purchase Agreement in June 2014, the Company assumed the existing lease with another landlord for an 11,500 square foot premises located in Huntsville Alabama. This lease expired at the end of January 2018. In January 2018, the Company and this landlord entered into a new 60-month lease which reduced the premises to 9,049 square feet with rent payments of approximately $18,100 per month.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long-term commercial supply agreement with Zhejiang Hisun Pharmaceutical Co. Ltd. (Hisun) for the production of ThermoDox® in mainland China, Hong Kong and Macau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(the “CFDA”). During the first quarter of 2015, Hisun completed the successful manufacture of three registration batches of ThermoDox®.</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16"/>
          <w:szCs w:val="16"/>
          <w:color w:val="auto"/>
        </w:rPr>
        <w:t xml:space="preserve">On January 18, 2013, we entered into a technology development contract with Hisun, pursuant to which Hisun paid us a non-refundable research and development fee of $5 million to support our development of ThermoDox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the China territory. Following our announcement on January 31, 2013 that the HEAT study failed to meet its primary endpoint, Celsion and Hisun have agreed that the Technology Development Contract entered into on January 18, 2013</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 xml:space="preserve">will remain in effect while the parties continue to collaborate and are evaluating the next steps in relation to ThermoDox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which include the sub-group analysis of patients in the Phase III HEAT Study for the hepatocellular carcinoma clinical indication and other activities to further the development of</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ThermoDox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the Greater China market. The $5.0 million received as a non-refundable payment from Hisun in the first quarter 2013 has been recorded to deferred revenue and will continue to be amortized over the 10-year term of the agreement, until such time as the parties find a mutually acceptable path forward on the development of ThermoDox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based on findings of the ongoing post-study analysis of the HEAT Study data.</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780" w:right="20" w:hanging="651"/>
        <w:spacing w:after="0" w:line="277" w:lineRule="auto"/>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69" w:lineRule="exact"/>
        <w:rPr>
          <w:rFonts w:ascii="Arial" w:cs="Arial" w:eastAsia="Arial" w:hAnsi="Arial"/>
          <w:sz w:val="18"/>
          <w:szCs w:val="18"/>
          <w:b w:val="1"/>
          <w:bCs w:val="1"/>
          <w:color w:val="auto"/>
        </w:rPr>
      </w:pPr>
    </w:p>
    <w:p>
      <w:pPr>
        <w:ind w:left="780" w:right="20" w:hanging="651"/>
        <w:spacing w:after="0" w:line="277" w:lineRule="auto"/>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CFDA; and</w:t>
      </w:r>
    </w:p>
    <w:p>
      <w:pPr>
        <w:spacing w:after="0" w:line="169" w:lineRule="exact"/>
        <w:rPr>
          <w:rFonts w:ascii="Arial" w:cs="Arial" w:eastAsia="Arial" w:hAnsi="Arial"/>
          <w:sz w:val="18"/>
          <w:szCs w:val="18"/>
          <w:b w:val="1"/>
          <w:bCs w:val="1"/>
          <w:color w:val="auto"/>
        </w:rPr>
      </w:pPr>
    </w:p>
    <w:p>
      <w:pPr>
        <w:ind w:left="780" w:hanging="651"/>
        <w:spacing w:after="0" w:line="277" w:lineRule="auto"/>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780" w:right="20" w:hanging="651"/>
        <w:spacing w:after="0" w:line="277" w:lineRule="auto"/>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69" w:lineRule="exact"/>
        <w:rPr>
          <w:rFonts w:ascii="Arial" w:cs="Arial" w:eastAsia="Arial" w:hAnsi="Arial"/>
          <w:sz w:val="18"/>
          <w:szCs w:val="18"/>
          <w:b w:val="1"/>
          <w:bCs w:val="1"/>
          <w:color w:val="auto"/>
        </w:rPr>
      </w:pPr>
    </w:p>
    <w:p>
      <w:pPr>
        <w:ind w:left="780" w:hanging="651"/>
        <w:spacing w:after="0"/>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4" w:lineRule="exact"/>
        <w:rPr>
          <w:rFonts w:ascii="Arial" w:cs="Arial" w:eastAsia="Arial" w:hAnsi="Arial"/>
          <w:sz w:val="18"/>
          <w:szCs w:val="18"/>
          <w:b w:val="1"/>
          <w:bCs w:val="1"/>
          <w:color w:val="auto"/>
        </w:rPr>
      </w:pPr>
    </w:p>
    <w:p>
      <w:pPr>
        <w:ind w:left="780" w:hanging="651"/>
        <w:spacing w:after="0" w:line="277" w:lineRule="auto"/>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69" w:lineRule="exact"/>
        <w:rPr>
          <w:rFonts w:ascii="Arial" w:cs="Arial" w:eastAsia="Arial" w:hAnsi="Arial"/>
          <w:sz w:val="18"/>
          <w:szCs w:val="18"/>
          <w:b w:val="1"/>
          <w:bCs w:val="1"/>
          <w:color w:val="auto"/>
        </w:rPr>
      </w:pPr>
    </w:p>
    <w:p>
      <w:pPr>
        <w:ind w:left="780" w:hanging="651"/>
        <w:spacing w:after="0" w:line="277" w:lineRule="auto"/>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69" w:lineRule="exact"/>
        <w:rPr>
          <w:rFonts w:ascii="Arial" w:cs="Arial" w:eastAsia="Arial" w:hAnsi="Arial"/>
          <w:sz w:val="18"/>
          <w:szCs w:val="18"/>
          <w:b w:val="1"/>
          <w:bCs w:val="1"/>
          <w:color w:val="auto"/>
        </w:rPr>
      </w:pPr>
    </w:p>
    <w:p>
      <w:pPr>
        <w:ind w:left="780" w:hanging="651"/>
        <w:spacing w:after="0" w:line="277" w:lineRule="auto"/>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2017 filed with the SEC on March 27, 2018,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Celsion is a fully-integrated development stage oncology drug company focused on advancing a portfolio of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Second in our pipeline is GEN-1, a DNA-mediated immunotherapy for the localized treatment of ovarian and brain cancers. We have two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ThermoDox® is being evaluated in a Phase III clinical trial for primary liver cancer, which we call the OPTIMA Study, which was initiated in 2014 and a Phase II clinical trial for recurrent chest wall breast cancer.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radio frequency ablation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(“RFA”), for newly diagnosed, intermediate stage HCC patients. HCC incidence globally is approximately 850,000 new cases per year and is the third largest cancer indication globally. Approximately 30% of newly diagnosed patients can be addressed with RFA alone.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28" w:name="page29"/>
    <w:bookmarkEnd w:id="28"/>
    <w:p>
      <w:pPr>
        <w:jc w:val="both"/>
        <w:spacing w:after="0" w:line="301" w:lineRule="auto"/>
        <w:rPr>
          <w:sz w:val="20"/>
          <w:szCs w:val="20"/>
          <w:color w:val="auto"/>
        </w:rPr>
      </w:pPr>
      <w:r>
        <w:rPr>
          <w:rFonts w:ascii="Arial" w:cs="Arial" w:eastAsia="Arial" w:hAnsi="Arial"/>
          <w:sz w:val="16"/>
          <w:szCs w:val="16"/>
          <w:color w:val="auto"/>
        </w:rPr>
        <w:t>On February 24, 2014, we announced that the FDA, after its customary 30-day review period,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which is described below. The OPTIMA Study is supported by a hypothesis developed from an overall survival analysis of a large subgroup of patients from the HEAT Study.</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initiated the OPTIMA Study in 2014. The OPTIMA Study was designed with extensive input from globally recognized hepatocellular carcinoma (“HCC”) researchers and expert clinicians and after receiving formal written consultation from the FDA. The OPTIMA Study is expected to enroll up to 550 patients globally at up to 70 sites in the U.S, Canada, European Union (“EU”), China and other countries in the Asia-Pacific region, and will evaluate ThermoDox® in combination with standardized RFA for a minimum of 45 minutes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allow Celsion to enroll patients at up to 20 clinical sites in China. On April 26, 2016, we announced that the first patient in China had been enrolled in the OPTIMA Study. Results from the OPTIMA Study, if successful, will provide the basis for a global registration filing and marketing approval.</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9, 2018, the Company announced that the independent Data Monitoring Committee (DMC) for the Company’s OPTIMA Study completed its last regularly scheduled review of the patients enrolled in the trial and has unanimously recommended that the OPTIMA Study continue according to protocol to its final data readout. The DMC’s recommendation was based on the Committee’s assessment of safety and data integrity of the first 75% of patients randomized in the trial as of February 5, 2018. The DMC reviewed study data at regular intervals, with the primary responsibilities of ensuring the safety of all patients enrolled in the study, the quality of the data collected, and the continued scientific validity of the study design. As part of its review of the first 413 patients, the DMC monitored a quality matrix relating to the total clinical data set, confirming the timely collection of data, that all data are current as well as other data collection and quality criteria.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2018, the Company announced that it reached its enrollment objective of 550 patients for the OPTIMA Study. The primary endpoint for the study is overall survival (OS). The OPTIMA Study’s design and statistical plan incorporates two pre-planned interim efficacy analyses by the study’s Data Monitoring Committee (DMC), and the first interim analysis is expected to occur in mid-2019. The DMC’s interim analyses will evaluate safety, efficacy and futility to determine if there is significant evidence of clinical benefit.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Post-hoc data analysis from the Company’s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the Company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780" w:right="20" w:hanging="651"/>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population of 154 patients with a single lesion who received optimized RFA treatment for 45 minutes or more showed a 53% risk improvement in OS (HR = 0.66) when treated with ThermoDox® plus optimized RFA.</w:t>
      </w:r>
    </w:p>
    <w:p>
      <w:pPr>
        <w:spacing w:after="0" w:line="169" w:lineRule="exact"/>
        <w:rPr>
          <w:rFonts w:ascii="Arial" w:cs="Arial" w:eastAsia="Arial" w:hAnsi="Arial"/>
          <w:sz w:val="18"/>
          <w:szCs w:val="18"/>
          <w:color w:val="auto"/>
        </w:rPr>
      </w:pPr>
    </w:p>
    <w:p>
      <w:pPr>
        <w:jc w:val="both"/>
        <w:ind w:left="780" w:hanging="651"/>
        <w:spacing w:after="0" w:line="311"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data continue to support and further strengthen ThermoDox®’s potential to significantly improve OS compared to an RFA control in patients with lesions that undergo optimized RFA treatment for 45 minutes or more. The clinical benefit seen in the intent-to-treat Chinese patient cohort further confirms the importance of RFA heating time as 72% of patients in this large patient cohort in China received an optimized RFA treatment.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7"/>
          <w:szCs w:val="17"/>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 For all patients with single lesions treated with RFA plus ThermoDox®:</w:t>
      </w:r>
    </w:p>
    <w:p>
      <w:pPr>
        <w:spacing w:after="0" w:line="191" w:lineRule="exact"/>
        <w:rPr>
          <w:sz w:val="20"/>
          <w:szCs w:val="20"/>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One-unit increase in RFA duration per tumor volume improved overall survival by 20% (p=0.017; n=227);</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significant differences in subgroup of patients with RFA burn times per tumor volume greater than 2.5 minutes per ml;</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Cox multiple covariate analysis showed overall survival to be significant (p=0.038; Hazard Ratio = 0.85); and</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Burn time per tumor volume did not have a significant effect on overall survival in single lesion patients treated with RFA only.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in the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our ongoing DIGNITY study, which is an open-label, dose-escalating Phase I/II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of ThermoDox® in patients with recurrent chest wall breast cancer. The DIGNITY Study was designed to establish a safe therapeutic dose in Phase I, and to demonstrate local control in Phase II, including complete and partial responses, and stable disease as its primary endpoint. The DIGNITY Study was also designed to evaluate kinetics in ThermoDox® produced from more than one manufacturing site. Of the 29 patients enrolled and treated, 21 patients were eligible for evaluation of efficacy. Approximately 62% of evaluable patients experienced a local response, including six complete responses and seven partial responses.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EGEN Assets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20, 2014, we completed the acquisition of substantially all of the assets of EGEN, which has changed its company name to EGWU, Inc. after the closing of the acquisition, pursuant to an asset purchase agreement (the “Asset Purchase Agreement”) dated as of June 6, 2014, by and between EGEN and Celsion.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4(2) thereof. In addition, the Company issued the Holdback Shares on June 16, 2017.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t>After its review in 2016, management concluded that there was no immediate opportunity to out-license TheraSilence. As a result of this analysis, the earnout payments were adjusted prior to 2017 and are now up to $24.4 million that may become payable, in cash, shares of our common stock or a combination thereof, at our option, upon achievement of two major milestone events as follows:</w:t>
      </w:r>
    </w:p>
    <w:p>
      <w:pPr>
        <w:spacing w:after="0" w:line="183" w:lineRule="exact"/>
        <w:rPr>
          <w:sz w:val="20"/>
          <w:szCs w:val="20"/>
          <w:color w:val="auto"/>
        </w:rPr>
      </w:pPr>
    </w:p>
    <w:p>
      <w:pPr>
        <w:ind w:left="780" w:hanging="651"/>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69" w:lineRule="exact"/>
        <w:rPr>
          <w:rFonts w:ascii="Arial" w:cs="Arial" w:eastAsia="Arial" w:hAnsi="Arial"/>
          <w:sz w:val="18"/>
          <w:szCs w:val="18"/>
          <w:color w:val="auto"/>
        </w:rPr>
      </w:pPr>
    </w:p>
    <w:p>
      <w:pPr>
        <w:ind w:left="780" w:right="20" w:hanging="651"/>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obligations to make the earnout payments will terminate on the seventh anniversary of the closing date. 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September 30, 2017 and 2018, after the Company’s annual assessments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estimated the fair value of the IPR&amp;D related to GBM at September 30, 2017 and 2018 using the MPEEM. After its assessment on September 30, 2017, the Company concluded that the GBM asset, valued at $9.4 million, was partially impaired and wrote down the GBM asset to $6.9 million on September 30, 2017, incurring a non-cash charge of $2.5 million in the third quarter of 2017. In connection with the write down of this IPR&amp;D asset on September 30, 2017, the Company concluded there was a reduced probability of payments of the earn-out milestones associated with the GBM asset and therefore reduced the earn-out milestone liability from $13.8 million to $12.5 million, recording a non-cash benefit of approximately $1.3 million in the third quarter of 2017. After its assessment on September 30, 2018, the Company concluded that the GBM asset, valued at $6.9 million, was partially impaired and wrote down the GBM asset to $2.4 million on September 30, 2018, incurring a non-cash charge of $4.5 million in the third quarter of 2018. In connection with the write down of this IPR&amp;D asset, the Company concluded there was a reduced probability of payments of the earn-out milestones associated with the GBM asset and therefore reduced the earn-out milestone liability from $13.1 million to $9.0 million, recording a non-cash benefit of approximately $4.1 million in the third quarter of 2018.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 other indicators of impairment existed during the first nine months of 2018, the Company concluded none of the other IPR&amp;D assets were impaired at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are based on the following:</w:t>
      </w:r>
    </w:p>
    <w:p>
      <w:pPr>
        <w:spacing w:after="0" w:line="177" w:lineRule="exact"/>
        <w:rPr>
          <w:sz w:val="20"/>
          <w:szCs w:val="20"/>
          <w:color w:val="auto"/>
        </w:rPr>
      </w:pPr>
    </w:p>
    <w:p>
      <w:pPr>
        <w:ind w:left="780" w:hanging="651"/>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69" w:lineRule="exact"/>
        <w:rPr>
          <w:rFonts w:ascii="Arial" w:cs="Arial" w:eastAsia="Arial" w:hAnsi="Arial"/>
          <w:sz w:val="18"/>
          <w:szCs w:val="18"/>
          <w:color w:val="auto"/>
        </w:rPr>
      </w:pPr>
    </w:p>
    <w:p>
      <w:pPr>
        <w:ind w:left="780" w:hanging="65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GEN-I OVATION Study. </w:t>
      </w:r>
      <w:r>
        <w:rPr>
          <w:rFonts w:ascii="Arial" w:cs="Arial" w:eastAsia="Arial" w:hAnsi="Arial"/>
          <w:sz w:val="17"/>
          <w:szCs w:val="17"/>
          <w:color w:val="auto"/>
        </w:rPr>
        <w:t>In February 2015, we announced that the FDA accepted, without objection, the Phase I dose-escalation clinical trial of GEN-1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with the standard of care in neo-adjuvant ovarian cancer (the “OVATION Study”). On September 30, 2015, we announced enrollment of the first patient in the OVATION Study. The OVATION Study is designed to (i) identify a safe, tolerable and potentially therapeutically active dose of GEN-1 by recruiting and maximizing an immune response; (ii) to enroll three to six patients per dose level and will evaluate safety and efficacy and (iii)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76" w:lineRule="exact"/>
        <w:rPr>
          <w:sz w:val="20"/>
          <w:szCs w:val="20"/>
          <w:color w:val="auto"/>
        </w:rPr>
      </w:pPr>
    </w:p>
    <w:p>
      <w:pPr>
        <w:ind w:left="780" w:hanging="651"/>
        <w:spacing w:after="0" w:line="277"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ind w:left="780" w:hanging="651"/>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69"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3, 2017,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780" w:hanging="651"/>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(IFN-g)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5" w:lineRule="exact"/>
        <w:rPr>
          <w:rFonts w:ascii="Arial" w:cs="Arial" w:eastAsia="Arial" w:hAnsi="Arial"/>
          <w:sz w:val="18"/>
          <w:szCs w:val="18"/>
          <w:color w:val="auto"/>
        </w:rPr>
      </w:pPr>
    </w:p>
    <w:p>
      <w:pPr>
        <w:ind w:left="780" w:right="20" w:hanging="651"/>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9" w:lineRule="exact"/>
        <w:rPr>
          <w:rFonts w:ascii="Arial" w:cs="Arial" w:eastAsia="Arial" w:hAnsi="Arial"/>
          <w:sz w:val="18"/>
          <w:szCs w:val="18"/>
          <w:color w:val="auto"/>
        </w:rPr>
      </w:pPr>
    </w:p>
    <w:p>
      <w:pPr>
        <w:jc w:val="both"/>
        <w:ind w:left="780" w:hanging="651"/>
        <w:spacing w:after="0" w:line="263"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overall survival; and</w:t>
      </w:r>
    </w:p>
    <w:p>
      <w:pPr>
        <w:spacing w:after="0" w:line="182" w:lineRule="exact"/>
        <w:rPr>
          <w:rFonts w:ascii="Arial" w:cs="Arial" w:eastAsia="Arial" w:hAnsi="Arial"/>
          <w:sz w:val="18"/>
          <w:szCs w:val="18"/>
          <w:color w:val="auto"/>
        </w:rPr>
      </w:pPr>
    </w:p>
    <w:p>
      <w:pPr>
        <w:jc w:val="both"/>
        <w:ind w:left="780" w:hanging="651"/>
        <w:spacing w:after="0" w:line="263"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3" w:lineRule="exact"/>
        <w:rPr>
          <w:sz w:val="20"/>
          <w:szCs w:val="20"/>
          <w:color w:val="auto"/>
        </w:rPr>
      </w:pPr>
    </w:p>
    <w:p>
      <w:pPr>
        <w:jc w:val="both"/>
        <w:ind w:left="780" w:hanging="651"/>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5" w:lineRule="exact"/>
        <w:rPr>
          <w:rFonts w:ascii="Arial" w:cs="Arial" w:eastAsia="Arial" w:hAnsi="Arial"/>
          <w:sz w:val="18"/>
          <w:szCs w:val="18"/>
          <w:color w:val="auto"/>
        </w:rPr>
      </w:pPr>
    </w:p>
    <w:p>
      <w:pPr>
        <w:jc w:val="both"/>
        <w:ind w:left="780" w:hanging="651"/>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(87%) patients in the highest two dose cohorts experienced a R0 surgical resection. All five patients treated at the highest dose cohort experienced a R0 surgical resection;</w:t>
      </w:r>
    </w:p>
    <w:p>
      <w:pPr>
        <w:spacing w:after="0" w:line="185" w:lineRule="exact"/>
        <w:rPr>
          <w:rFonts w:ascii="Arial" w:cs="Arial" w:eastAsia="Arial" w:hAnsi="Arial"/>
          <w:sz w:val="18"/>
          <w:szCs w:val="18"/>
          <w:color w:val="auto"/>
        </w:rPr>
      </w:pPr>
    </w:p>
    <w:p>
      <w:pPr>
        <w:ind w:left="780" w:hanging="651"/>
        <w:spacing w:after="0" w:line="307"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jc w:val="both"/>
        <w:spacing w:after="0" w:line="291" w:lineRule="auto"/>
        <w:rPr>
          <w:sz w:val="20"/>
          <w:szCs w:val="20"/>
          <w:color w:val="auto"/>
        </w:rPr>
      </w:pPr>
      <w:r>
        <w:rPr>
          <w:rFonts w:ascii="Arial" w:cs="Arial" w:eastAsia="Arial" w:hAnsi="Arial"/>
          <w:sz w:val="16"/>
          <w:szCs w:val="16"/>
          <w:color w:val="auto"/>
        </w:rPr>
        <w:t>On October 24, 2018, the Company announced final results from the OVATION Study. Median progression-free survival (PFS) in patients treated per protocol (n=13) was 24.3 months and was 17.1 months for the intent-to-treat population (n=18) for all dose cohorts, including three patients who dropped out of the study after 13 days or less, and two patients who did not receive full NAC and GEN-1 cycles. Under the current standard of care, in women with Stage III/IV ovarian cancer undergoing NAC, the disease progresses within about 12 months on average. Even with only limited GEN-1 plus standard NAC, treatment doubled PFS to an average of over 24 months for women in this small study. The results from the OVATION Study support continued evaluation of GEN-1 based on promising tumor response, as reported in the PFS data, and the ability for surgeons to completely remove visible tumor at debulking surgery. GEN-1 was well tolerated and no dose-limiting toxicities were detected. Intraperitoneal administration of GEN-1 was feasible with broad patient acceptance.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II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12 patient Phase I portion of the study will be followed by a continuation at the selected dose in up to 118 patient randomized Phase II study. GEN-1 has demonstrated positive safety and efficacy data in the recently completed dose escalation Phase IB trial in combination with neoadjuvant chemotherapy.</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study protocol was unanimously supported by an expert medical advisory board and lead investigators from the Phase IB OVATION Study and is summarized below:</w:t>
      </w:r>
    </w:p>
    <w:p>
      <w:pPr>
        <w:spacing w:after="0" w:line="170" w:lineRule="exact"/>
        <w:rPr>
          <w:sz w:val="20"/>
          <w:szCs w:val="20"/>
          <w:color w:val="auto"/>
        </w:rPr>
      </w:pPr>
    </w:p>
    <w:p>
      <w:pPr>
        <w:ind w:left="780" w:hanging="651"/>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Enrollment up to 130 patients with Stage III/IV ovarian cancer patients at ten U.S. centers; and</w:t>
      </w:r>
    </w:p>
    <w:p>
      <w:pPr>
        <w:spacing w:after="0" w:line="224" w:lineRule="exact"/>
        <w:rPr>
          <w:rFonts w:ascii="Arial" w:cs="Arial" w:eastAsia="Arial" w:hAnsi="Arial"/>
          <w:sz w:val="18"/>
          <w:szCs w:val="18"/>
          <w:color w:val="auto"/>
        </w:rPr>
      </w:pPr>
    </w:p>
    <w:p>
      <w:pPr>
        <w:ind w:right="960" w:firstLine="129"/>
        <w:spacing w:after="0" w:line="500" w:lineRule="auto"/>
        <w:tabs>
          <w:tab w:leader="none" w:pos="7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Primary endpoint of improvement in PFS comparing GEN-1 with neoadjuvant chemotherapy versus neoadjuvant chemotherapy alone. On September 6, 2018, the Company announced it began dosing patients in the OVATION II Study.</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8, 2016, we signed the GEN-1 Agreement with Hisun to pursue an expanded partnership for the technology transfer relating to the clinical and commercial manufacture and supply of GEN-1, Celsion’s proprietary gene mediated, IL-12 immunotherapy, for the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FDA. We have not generated significant revenue and have incurred significant net losses in each year since our inception. As of September 30, 2018, we have incurred approximately $279 million of cumulated net losses. As of September 30, 2018, we had approximately $22.0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780" w:hanging="65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4"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69" w:lineRule="exact"/>
        <w:rPr>
          <w:rFonts w:ascii="Arial" w:cs="Arial" w:eastAsia="Arial" w:hAnsi="Arial"/>
          <w:sz w:val="18"/>
          <w:szCs w:val="18"/>
          <w:color w:val="auto"/>
        </w:rPr>
      </w:pPr>
    </w:p>
    <w:p>
      <w:pPr>
        <w:ind w:left="780" w:hanging="65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operations. The Company determined it met the eligibility requirements of the NOL Program for 2018 and filed its application with the New Jersey Economic Development Authority (NJEDA) in June 2018. In this application, the Company requested authorization of up to $12.5 million in cumulative New Jersey net operating losses to be eligible for sale. In September 2018, the NJEDA notified the Company that its application received approval under the NOL Program for 2018. The Company expects that the successful transfer of these credits will result in receipt of approximately $10 million in net cash proceeds to the Company prior to the end of 2018.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both"/>
        <w:spacing w:after="0" w:line="256" w:lineRule="auto"/>
        <w:rPr>
          <w:sz w:val="20"/>
          <w:szCs w:val="20"/>
          <w:color w:val="auto"/>
        </w:rPr>
      </w:pPr>
      <w:r>
        <w:rPr>
          <w:rFonts w:ascii="Arial" w:cs="Arial" w:eastAsia="Arial" w:hAnsi="Arial"/>
          <w:sz w:val="18"/>
          <w:szCs w:val="18"/>
          <w:color w:val="auto"/>
        </w:rPr>
        <w:t>With $22.0 million in cash, investment securities and interest receivable at September 30, 2018 and the impending sale of its New Jersey net operating losses, the Company believes it has sufficient capital resources to fund its operations into the fourth quarter of 2020. The Company will be required to obtain additional funding in order to continue the development of its current product candidates within the anticipated time periods, if at all, and to continue to fund operations. As more fully discussed in Note 11, the Company has $15.0 million available for future sale of equity securities under a common stock purchase agreement it has with Aspire Capital Fund,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and thus far in 2018, we entered into a $10 million loan facility and we issued a total of 16.4 million shares of common stock in the following equity transactions for an aggregate $43.9 million in gross proceeds.</w:t>
      </w:r>
    </w:p>
    <w:p>
      <w:pPr>
        <w:spacing w:after="0" w:line="170" w:lineRule="exact"/>
        <w:rPr>
          <w:sz w:val="20"/>
          <w:szCs w:val="20"/>
          <w:color w:val="auto"/>
        </w:rPr>
      </w:pPr>
    </w:p>
    <w:p>
      <w:pPr>
        <w:jc w:val="both"/>
        <w:ind w:left="780" w:hanging="651"/>
        <w:spacing w:after="0" w:line="25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27, 2018, the Company entered into the Horizon Credit Agreement with Horizon that provided $10 million in new capital.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93" w:lineRule="exact"/>
        <w:rPr>
          <w:rFonts w:ascii="Arial" w:cs="Arial" w:eastAsia="Arial" w:hAnsi="Arial"/>
          <w:sz w:val="18"/>
          <w:szCs w:val="18"/>
          <w:color w:val="auto"/>
        </w:rPr>
      </w:pPr>
    </w:p>
    <w:p>
      <w:pPr>
        <w:ind w:left="780" w:right="20" w:hanging="651"/>
        <w:spacing w:after="0" w:line="27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received gross proceeds of $22.0 million from the exercise of warrants to purchase approximately 7.6 million shares of common stock in 2017.</w:t>
      </w:r>
    </w:p>
    <w:p>
      <w:pPr>
        <w:spacing w:after="0" w:line="169" w:lineRule="exact"/>
        <w:rPr>
          <w:rFonts w:ascii="Arial" w:cs="Arial" w:eastAsia="Arial" w:hAnsi="Arial"/>
          <w:sz w:val="18"/>
          <w:szCs w:val="18"/>
          <w:color w:val="auto"/>
        </w:rPr>
      </w:pPr>
    </w:p>
    <w:p>
      <w:pPr>
        <w:jc w:val="both"/>
        <w:ind w:left="780" w:hanging="651"/>
        <w:spacing w:after="0" w:line="290"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October 27, 2017, the Company entered into the Underwriting Agreement with the Underwriter, relating to the issuance and sale in the October 2017 Underwritten Offering of 2,640,000 shares of common stock of the Company and warrants to purchase an aggregate of 1,320,000 shares of common stock of the Company. Each share of common stock was sold together with 0.5 warrants (the “Investor Warrants”), each whole Investor Warrant being exercisable for one share of common stock, at an offering price of $2.50 per share and related Investor Warrants. Pursuant to the terms of the Underwriting Agreement, the Underwriter has agreed to purchase the shares and related Investor Warrants from the Company at a price of $2.325 per share and related Investor Warrant. Each Investor Warrant is exercisable six months from the date of issuance. The Investor Warrants have an exercise price of $3.00 per whole share and expire five years from the date first exercisable. The Company received $6.6 million of gross proceeds from the sale of the Shares and Investor Warrant. The October 2017 Underwritten Offering closed on October 31, 2017.</w:t>
      </w:r>
    </w:p>
    <w:p>
      <w:pPr>
        <w:spacing w:after="0" w:line="163" w:lineRule="exact"/>
        <w:rPr>
          <w:rFonts w:ascii="Arial" w:cs="Arial" w:eastAsia="Arial" w:hAnsi="Arial"/>
          <w:sz w:val="16"/>
          <w:szCs w:val="16"/>
          <w:color w:val="auto"/>
        </w:rPr>
      </w:pPr>
    </w:p>
    <w:p>
      <w:pPr>
        <w:jc w:val="both"/>
        <w:ind w:left="780" w:hanging="651"/>
        <w:spacing w:after="0" w:line="285"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 million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$0.8 million, are immediately exercisable for $0.01 per share of common stock and do not have an expiration date. As of August 11, 2017, the Prefunded Series CCC Warrants were fully exercised.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ind w:left="780" w:hanging="651"/>
        <w:spacing w:after="0" w:line="289"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February 2017 Public Offering, the Company entered into a securities purchase agreement whereby it sold an aggregate of 1,384,705 shares of common stock of the Company at an offering price of $3.22 per share. In addition, the Company sold Series AA Warrants to purchase up to 1,177,790 shares of common stock and Pre-Funded Series BB Warrants to purchase up to 185,713 shares of common stock. The Series AA Warrants have an exercise price of $3.22 per share, have a five-year life and are immediately exercisable. The Pre-Funded Series BB Warrants were offered at $3.08 per share, are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2017 Public Offering. During the first quarter of 2017, all 185,713 of the Series BB Pre-Funded warrants were exercised in full.</w:t>
      </w:r>
    </w:p>
    <w:p>
      <w:pPr>
        <w:spacing w:after="0" w:line="168" w:lineRule="exact"/>
        <w:rPr>
          <w:rFonts w:ascii="Arial" w:cs="Arial" w:eastAsia="Arial" w:hAnsi="Arial"/>
          <w:sz w:val="16"/>
          <w:szCs w:val="16"/>
          <w:color w:val="auto"/>
        </w:rPr>
      </w:pPr>
    </w:p>
    <w:p>
      <w:pPr>
        <w:jc w:val="both"/>
        <w:ind w:left="780" w:hanging="651"/>
        <w:spacing w:after="0" w:line="259" w:lineRule="auto"/>
        <w:tabs>
          <w:tab w:leader="none" w:pos="780" w:val="left"/>
        </w:tabs>
        <w:numPr>
          <w:ilvl w:val="0"/>
          <w:numId w:val="21"/>
        </w:numPr>
        <w:rPr>
          <w:rFonts w:ascii="Arial" w:cs="Arial" w:eastAsia="Arial" w:hAnsi="Arial"/>
          <w:sz w:val="32"/>
          <w:szCs w:val="32"/>
          <w:color w:val="auto"/>
          <w:vertAlign w:val="superscript"/>
        </w:rPr>
      </w:pPr>
      <w:r>
        <w:rPr>
          <w:rFonts w:ascii="Arial" w:cs="Arial" w:eastAsia="Arial" w:hAnsi="Arial"/>
          <w:sz w:val="16"/>
          <w:szCs w:val="16"/>
          <w:color w:val="auto"/>
        </w:rPr>
        <w:t>We are a party 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December 31, 2016, the Company sold and issued an aggregate of 105,681 shares of common stock under the ATM, receiving approximately $7.4 million in net proceeds. During 2017, the Company sold 1,221,348 shares of common stock under the ATM, receiving approximately $3.9 million in net proceeds. Thus far in 2018, the Company sold 457,070 shares of common stock under the ATM, receiving approximately $1.2 million in net proceeds. On October 10, 2018, the Company delivered notice to Cantor terminating the ATM effective as of October 20, 2018. From February 2013 through the date of termination, the Company sold 1,784,396 shares of Common Stock under the Sales Agreement generating gross proceeds of $12.8 million. The Company has no further obligations under the Sales Agreement.</w:t>
      </w:r>
    </w:p>
    <w:p>
      <w:pPr>
        <w:spacing w:after="0" w:line="192" w:lineRule="exact"/>
        <w:rPr>
          <w:rFonts w:ascii="Arial" w:cs="Arial" w:eastAsia="Arial" w:hAnsi="Arial"/>
          <w:sz w:val="32"/>
          <w:szCs w:val="32"/>
          <w:color w:val="auto"/>
          <w:vertAlign w:val="superscript"/>
        </w:rPr>
      </w:pPr>
    </w:p>
    <w:p>
      <w:pPr>
        <w:jc w:val="both"/>
        <w:ind w:left="780" w:hanging="651"/>
        <w:spacing w:after="0" w:line="268"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August 31, 2018, we entered into the Aspire Purchase Agreement with Aspire Capital Fund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fundings, rights of first refusal, participation rights, penalties or liquidated damages in the Purchase Agreement. In consideration for entering into the Purchase Agreement, concurrently with the execution of the Purchase Agreement, the Company issued to Aspire Capital 164,835 Commitment Shares. The Aspire Purchase Agreement may be terminated by the Company at any time, at its discretion, without any cost to the Company. Any proceeds from the Company receives under the Aspire Purchase Agreement are expected to be used for working capital and general corporate purposes. The Company has not sold any shares under the Aspire Purchase Agreement.</w:t>
      </w:r>
    </w:p>
    <w:p>
      <w:pPr>
        <w:spacing w:after="0" w:line="186" w:lineRule="exact"/>
        <w:rPr>
          <w:rFonts w:ascii="Arial" w:cs="Arial" w:eastAsia="Arial" w:hAnsi="Arial"/>
          <w:sz w:val="17"/>
          <w:szCs w:val="17"/>
          <w:color w:val="auto"/>
        </w:rPr>
      </w:pPr>
    </w:p>
    <w:p>
      <w:pPr>
        <w:jc w:val="both"/>
        <w:ind w:left="780" w:hanging="651"/>
        <w:spacing w:after="0" w:line="275"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October 29, 2018, the Company and certain investors holding warrants to purchase 1.6 million shares collectively of the Company’s common stock received in the February 27, 2017 Public Offering and the October 2017 Underwritten Offering, entered into warrant exchange agreements whereby the Company issued 820,714 shares collectively of common stock to these investors in exchange for the warrants. After the warrant exchange, warrants outstanding totaled 1.6 million with a weighted average exercise price of $5.75 per share. Approximately 1.2 million of these outstanding warrants with a strike price of $6.20 per share will expire on April 4, 2019.</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20, 2014, we completed the acquisition of substantially all the assets of EGEN, Inc. At the closing, we paid approximately $3.0 million in cash and issued 193,728 shares of its common stock to EGEN. In addition, 47,862 shares of common stock were issuable to EGEN pending satisfactory resolution of any post-closing adjustments of expenses and EGEN’s indemnification obligations under the EGEN Purchase Agreement. These shares were issued on June 16,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2017 Annual Report on Form 10-K for the year ended December 31, 2017 filed with the SEC on March 27,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both"/>
        <w:spacing w:after="0" w:line="267" w:lineRule="auto"/>
        <w:rPr>
          <w:sz w:val="20"/>
          <w:szCs w:val="20"/>
          <w:color w:val="auto"/>
        </w:rPr>
      </w:pPr>
      <w:r>
        <w:rPr>
          <w:rFonts w:ascii="Arial" w:cs="Arial" w:eastAsia="Arial" w:hAnsi="Arial"/>
          <w:sz w:val="17"/>
          <w:szCs w:val="17"/>
          <w:color w:val="auto"/>
        </w:rPr>
        <w:t>In May 2014, the FASB issued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 606) -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 (i) identify contract(s) with a customer; (ii) identify the performance obligations in the contract;(iii) determine the transaction price;(iv) allocate the transaction price to the performance obligations in the contract; and (v) recognize revenues when (or as) we satisfy the performance obligation. As further described in Note 15,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Please refer to Note 2 of the Financial Statements contained in this Form 10-K. Also refer to </w:t>
      </w:r>
      <w:r>
        <w:rPr>
          <w:rFonts w:ascii="Arial" w:cs="Arial" w:eastAsia="Arial" w:hAnsi="Arial"/>
          <w:sz w:val="18"/>
          <w:szCs w:val="18"/>
          <w:b w:val="1"/>
          <w:bCs w:val="1"/>
          <w:color w:val="auto"/>
        </w:rPr>
        <w:t>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AND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September 30, 2018, our net loss was $4.7 million compared to a net loss of $5.7 million for the same period of 2017. For the nine months ended September 30, 2018, our net loss was $17.4 million compared to a net loss of $16.1 million for the same period of 2017. In the third quarter and for the first nine months of 2018, the Company incurred $0.6 million and $4.0 million, respectively, of non-cash stock option expense compared to $0.2 million and $1.0 million, respectively, during the same periods of 2017. With $22.0 million in cash and investments on hand at September 30, 2018, the Company believes it has sufficient capital resources to fund its operations into the fourth quarter of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7"/>
        </w:trPr>
        <w:tc>
          <w:tcPr>
            <w:tcW w:w="4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gridSpan w:val="3"/>
          </w:tcPr>
          <w:p>
            <w:pPr>
              <w:jc w:val="center"/>
              <w:spacing w:after="0" w:line="197" w:lineRule="exact"/>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4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w w:val="90"/>
              </w:rPr>
              <w:t>(In thousands)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4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2,033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1"/>
              <w:spacing w:after="0"/>
              <w:rPr>
                <w:sz w:val="20"/>
                <w:szCs w:val="20"/>
                <w:color w:val="auto"/>
              </w:rPr>
            </w:pPr>
            <w:r>
              <w:rPr>
                <w:rFonts w:ascii="Arial" w:cs="Arial" w:eastAsia="Arial" w:hAnsi="Arial"/>
                <w:sz w:val="18"/>
                <w:szCs w:val="18"/>
                <w:color w:val="auto"/>
              </w:rPr>
              <w:t>2,951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(918)</w:t>
            </w:r>
          </w:p>
        </w:tc>
        <w:tc>
          <w:tcPr>
            <w:tcW w:w="8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4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w:t>
            </w: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(244)</w:t>
            </w:r>
          </w:p>
        </w:tc>
        <w:tc>
          <w:tcPr>
            <w:tcW w:w="8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03"/>
        </w:trPr>
        <w:tc>
          <w:tcPr>
            <w:tcW w:w="41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1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2,187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3,349</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(1,162)</w:t>
            </w:r>
          </w:p>
        </w:tc>
        <w:tc>
          <w:tcPr>
            <w:tcW w:w="3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(34.7)%</w:t>
            </w:r>
          </w:p>
        </w:tc>
      </w:tr>
      <w:tr>
        <w:trPr>
          <w:trHeight w:val="24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1,960</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1,174</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786</w:t>
            </w:r>
          </w:p>
        </w:tc>
        <w:tc>
          <w:tcPr>
            <w:tcW w:w="8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0"/>
        </w:trPr>
        <w:tc>
          <w:tcPr>
            <w:tcW w:w="41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4,147</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(8.3)%</w:t>
            </w:r>
          </w:p>
        </w:tc>
      </w:tr>
      <w:tr>
        <w:trPr>
          <w:trHeight w:val="229"/>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9"/>
        </w:trPr>
        <w:tc>
          <w:tcPr>
            <w:tcW w:w="4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7"/>
          </w:tcPr>
          <w:p>
            <w:pPr>
              <w:jc w:val="right"/>
              <w:ind w:right="1460"/>
              <w:spacing w:after="0"/>
              <w:rPr>
                <w:sz w:val="20"/>
                <w:szCs w:val="20"/>
                <w:color w:val="auto"/>
              </w:rPr>
            </w:pPr>
            <w:r>
              <w:rPr>
                <w:rFonts w:ascii="Arial" w:cs="Arial" w:eastAsia="Arial" w:hAnsi="Arial"/>
                <w:sz w:val="18"/>
                <w:szCs w:val="18"/>
                <w:b w:val="1"/>
                <w:bCs w:val="1"/>
                <w:color w:val="auto"/>
                <w:w w:val="94"/>
              </w:rPr>
              <w:t>Nine Months 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7"/>
        </w:trPr>
        <w:tc>
          <w:tcPr>
            <w:tcW w:w="4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gridSpan w:val="3"/>
          </w:tcPr>
          <w:p>
            <w:pPr>
              <w:jc w:val="center"/>
              <w:spacing w:after="0" w:line="197" w:lineRule="exact"/>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4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6"/>
          </w:tcPr>
          <w:p>
            <w:pPr>
              <w:jc w:val="right"/>
              <w:ind w:right="961"/>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4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8,670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8,859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(189)</w:t>
            </w:r>
          </w:p>
        </w:tc>
        <w:tc>
          <w:tcPr>
            <w:tcW w:w="8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4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(160)</w:t>
            </w:r>
          </w:p>
        </w:tc>
        <w:tc>
          <w:tcPr>
            <w:tcW w:w="8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3"/>
        </w:trPr>
        <w:tc>
          <w:tcPr>
            <w:tcW w:w="41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1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9,522</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9,871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(349)</w:t>
            </w:r>
          </w:p>
        </w:tc>
        <w:tc>
          <w:tcPr>
            <w:tcW w:w="3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(3.5)%</w:t>
            </w:r>
          </w:p>
        </w:tc>
      </w:tr>
      <w:tr>
        <w:trPr>
          <w:trHeight w:val="24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7,168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4,291</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2,877</w:t>
            </w:r>
          </w:p>
        </w:tc>
        <w:tc>
          <w:tcPr>
            <w:tcW w:w="8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0"/>
        </w:trPr>
        <w:tc>
          <w:tcPr>
            <w:tcW w:w="41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1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16,690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14,162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2,528</w:t>
            </w:r>
          </w:p>
        </w:tc>
        <w:tc>
          <w:tcPr>
            <w:tcW w:w="3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17.6%</w:t>
            </w:r>
          </w:p>
        </w:tc>
      </w:tr>
      <w:tr>
        <w:trPr>
          <w:trHeight w:val="229"/>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third quarters of 2018 and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decreased by $1.1 million to $2.2 million in the third quarter of 2018 from $3.3 million in the same period of 2017. Costs associated with the OPTIMA Study decreased by $1.1 million to $0.7 million in the third quarter of 2018 compared to $1.8 million in the same period of 2017. This decrease resulted from cost concessions negotiated with its lead contract research organization (CRO) for the OPTIMA Study as well as lower monthly CRO fees after completion of engagement of this Phase III study during the third quarter of 2018. Costs associated the OVATION II Study were $0.2 million in the third quarter of 2018. Preclinical and regulatory costs were $0.1 million in the third quarter of 2018 and were insignificant in the same period of 2017. Other clinical costs increased by $0.2 million to $0.6 million in the third quarter of 2018 compared to $0.4 million in the same period of 2017. This increase is mostly attributable to an increase of $0.1 million in non-cash stock compensation expense during the third quarter of 2018 compared to the same period of 2017. Costs associated with the production and distribution of ThermoDox® to support the OPTIMA Study decreased $0.2 million to $0.2 million in the third quarter of 2018 compared to $0.4 million in the same period of 2017. Enrollment for the OPTIMA Study was completed during the third quarter of 2018. R&amp;D costs associated with the development of GEN-1 to support the OVATION Studies remained relatively unchanged at $0.5 million in each of the third quarters of 2018 and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(“G&amp;A”) expenses increased to $2.0 million in the third quarter of 2018 compared to $1.2 million in the same period of 2017. This increase is mostly attributable to an increase in professional fees of approximately $0.2 million and an increase in personnel costs of approximately $0.1 million coupled with a $0.4 million in non-cash stock compensation expense in the third quarter of 2018 compared to the same period of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September 30, 2018,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$6.9 million, was partially impaired and wrote down the GBM asset to $2.5 million incurring a non-cash charge of $4.5 million in the third quarter of 2018.</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1" w:right="239" w:bottom="1440" w:gutter="0" w:footer="0" w:header="0"/>
        </w:sectPr>
      </w:pPr>
    </w:p>
    <w:bookmarkStart w:id="38" w:name="page39"/>
    <w:bookmarkEnd w:id="38"/>
    <w:p>
      <w:pPr>
        <w:jc w:val="both"/>
        <w:spacing w:after="0" w:line="256" w:lineRule="auto"/>
        <w:rPr>
          <w:sz w:val="20"/>
          <w:szCs w:val="20"/>
          <w:color w:val="auto"/>
        </w:rPr>
      </w:pPr>
      <w:r>
        <w:rPr>
          <w:rFonts w:ascii="Arial" w:cs="Arial" w:eastAsia="Arial" w:hAnsi="Arial"/>
          <w:sz w:val="18"/>
          <w:szCs w:val="18"/>
          <w:color w:val="auto"/>
        </w:rPr>
        <w:t>At September 30, 2017,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$9.4 million, was partially impaired and wrote down the GBM asset to $6.9 million incurring a non-cash charge of $2.5 million in the third quarter of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write down of the IPR&amp;D asset discussed above, the Company concluded there was a reduced probability of payments of the earn-out milestones associated with the GBM asset as of September 30, 2018, therefore, the Company fair valued these milestones at $9.0 million and recognized a non-cash benefit of $4.1 million in the third quarter of 2018 as a result of the change in the fair value of these milestones from $13.1 million at June 30, 2018.</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write down of the IPR&amp;D asset discussed above, the Company concluded there was a reduced probability of payments of the earn-out milestones associated with the GBM asset as of September 30, 2017, therefore, the Company fair valued these milestones at $12.5 million and recognized a non-cash benefit of $1.2 million in the third quarter of 2017 as a result of the change in the fair value of these milestones from $13.7 million at June 30, 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realized $0.1 million of interest income from its short-term investments during the third quarter of 2018. Investment income was negligible in the third quarter of 2017.</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entered into a new loan facility with Horizon Technology Finance Corporation on June 27, 2018. In connection with this debt facility the Company incurred $0.1 million and $0.6 million in interest expense in the third quarter of 2018. In connection with its debt facilities, the Company interest expense was insignificant in the third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$375,000 in each of the first nine months of 2018 and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Research and development (R&amp;D) expenses decreased by $0.4 million to $9.5 million in the first nine months of 2018 from $9.9 million in the same period of 2017. Costs associated with the OPTIMA Study were $4.0 million in the first nine months of 2018 compared to $4.9 million in the same period of 2017. This decrease resulted from cost concessions negotiated with its lead contract research organization (CRO) for the OPTIMA Study as well as lower monthly CRO fees after completion of engagement of this Phase III study during the third quarter of 2018. Costs associated with the OVATION studies were $0.4 million in the first nine months of 2018 compared to $0.2 million in the same period of 2017. The Company announced the completion of enrollment of all cohorts of the OVATION I Study in 2017. The Company initiated the OVATION II Study during 2018. Other clinical costs were $2.0 million in the first nine months of 2018 compared to $1.9 million in the same period of 2017. In the nine months of 2018, the other clinical costs included an increase of $0.5 million in non-cash stock compensation expense compared to the same period of 2017. In early 2017, the Company executed a cost reduction plan by reducing the costs associated with the support of the ThermoDox® studies in Europe. The majority of the $0.5 million in 2017 costs were realized in the first quarter of 2017. ThermoDox® preclinical and regulatory R&amp;D costs were $0.2 million in the first nine months of 2018 compared to $0.1 million in the same period of 2017. Costs associated with the production of ThermoDox® to support the OPTIMA Study were $0.9 million in the first nine months of 2018 compared to $1.0 million in the same period of 2017. Costs associated with the research and development of GEN-1 increased by $0.3 million to $2.1 million in the first nine months of 2018 compared to $1.8 million in the same period of 2017.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increased by $2.9 million to $7.2 million in the first nine months of 2018 compared to $4.3 million in the same nine-month period of 2017. This increase is primarily attributable to increases in professional fees of approximately $0.7 million and compensation expenses totaling $2.0 million in non-cash stock compensation expense in the first nine months of 2018 compared to the same period of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September 30, 2018,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$6.9 million, was partially impaired and wrote down the GBM asset to $2.5 million incurring a non-cash charge of $4.5 million in the third quarter and first nine months of 2018.</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September 30, 2017,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$9.4 million, was partially impaired and wrote down the GBM asset to $6.9 million incurring a non-cash charge of $2.5 million in the third quarter and first nine months of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write down of the IPR&amp;D asset mentioned above, the Company concluded there was a reduced probability of payments of the earn-out milestones associated with the GBM asset as of September 30, 2018, therefore, the Company fair valued these milestones at $9.0 million and recognized a non-cash benefit of $3.5 million in the first nine months of 2018 as a result of the change in the fair value of these milestones from $12.5 million at December 31, 2018.</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write down of the IPR&amp;D asset mentioned above, the Company concluded there was a reduced probability of payments of the earn-out milestones associated with the GBM asset as of September 30, 2017, therefore, the Company fair valued these milestones at $12.5 million and recognized a non-cash benefit of $0.7 million in the first nine months of 2017 as a result of the change in the fair value of these milestones from $13.2 million at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$0.3 million of interest income from its short-term investments during the first nine months of 2018. Investment income was negligible in the first nine months of 2017.</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its debt facilities, the Company incurred interest expense of $0.4 million in the first nine months of 2018 compared to $0.1 million in the same nine-month period of 2017. The Company entered a new loan facility with Horizon Technology Finance Corporation on June 27, 2018. In the second quarter of 2017, Company paid off its prior loan facility with Hercules Technology Growth Capital, Inc.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Deemed dividend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2017, we recognized deemed dividends totaling $0.4 million collectively in regard to multiple agreements with certain warrant holders, pursuant to which these warrant holders agreed to exercise, and the Company agreed to reprice, certain warrants. Warrants to purchase a total of 790,410 shares of common stock were repriced at $2.70 and warrants to purchase 506,627 shares of common stock were repriced at $1.65 and the Company received $3.0 million in aggregate gross proceeds from the exercise of these repriced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$279 million at September 30, 2018.</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2018 we had total current assets of $22.3 million (including cash, cash equivalents and short-term investments and related interest receivable on short-term investments of $22.0 million) and current liabilities of $5.8 million, resulting in net working capital of $16.7 million. At December 31, 2017 we had total current assets of $24.3 million (including cash, cash equivalents and short-term investments and related interest receivable on short-term investments of $24.2 million) and current liabilities of $6.2 million, resulting in net working capital of $18.1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for the first nine months of 2018 was $13.1 million. Our 2018 net loss of $17.4 million for the first nine months of 2018 included $4.0 million in non-cash stock-based compensation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$11.0 million during the first nine months of 2018 from $9.7 million in net proceeds from the Horizon Credit Facility and $1.2 million in net proceeds from the sale of our common stock through an ATM Facility with Cantor Fitzgerald.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 off-balance sheet financing arrangements. 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We also have a one-time option to cancel the lease as of the 24th month after the commencement date of the amendment. 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 Other than this lease amendment, there were no material changes during the three and nine months ended September 30, 2018 to our operating leases, which are disclosed in the contractual commitments table in our Annual Report on Form 10-K for the fiscal year ended December 31, 2017 filed on March 27, 2018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2018,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three and nine months ended September 30, 2018 that have materially affected, or are reasonably likely to materially affect, our internal controls over financial reporting.</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2017 filed on March 27, 2018 with the SEC. In assessing these risks, investors should also refer to the other information contained or incorporated by reference in this Quarterly Report and our other filings made from time to time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$279 million at September 30, 2018. For the years ended December 31, 2016 and 2017, and for the nine months ended September 30, 2018, we incurred a net loss of $22.1 million, $20.4 million and $17.4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the Phase III HEAT Study.</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I/II dose escalating trial evaluating GEN-1, known as the OVATION II Study, in ovarian cancer patients.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3" w:name="page44"/>
    <w:bookmarkEnd w:id="43"/>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not generated significant revenue and have incurred significant net losses in each year since our inception. Since our inception, our expenses have substantially exceeded our revenue, resulting in continuing losses and an accumulated deficit of $279 million at September 30, 2018. For the years ended December 31, 2016 and 2017 and the nine months ended September 30, 2018, we incurred a net loss of $22.1 million, $20.4 million and $17.4 million, respectively. As of September 30, 2018, we had approximately $22.0 million in cash and short-term investments including interest receivable.</w:t>
      </w:r>
    </w:p>
    <w:p>
      <w:pPr>
        <w:spacing w:after="0" w:line="1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we expanded our clinical development program for GEN-1 in ovarian cancer during 2018.</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18"/>
          <w:szCs w:val="18"/>
          <w:b w:val="1"/>
          <w:bCs w:val="1"/>
          <w:color w:val="auto"/>
        </w:rPr>
        <w:t>If we do not obtain FDA and foreign regulatory approvals for our drug candidates on a timely basis, or at all, or if the terms of any approval impose significant restrictions or limitations on use, we will or may be unable to sell those products and our business, results of operations and financial condition will be negatively affected. Similarly, if we were unable to maintain FDA and foreign regulatory approvals for our drug candidates, our business and financial conditions will be negatively affected.</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obtain regulatory approvals from the FDA and foreign regulatory authorities, we must conduct clinical trials demonstrating that our products are safe and effective. We may need to amend ongoing trials, or the FDA and/or foreign regulatory authorities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authorities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U.S., given that we may be subject to additional or different regulatory burdens in other markets. This could limit our ability to realize their full market potential.</w:t>
      </w:r>
    </w:p>
    <w:p>
      <w:pPr>
        <w:spacing w:after="0" w:line="17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Our industry is highly regulated by the FDA and comparable foreign regulatory authorities. We must comply with extensive, strictly enforced regulatory requirements to develop product candidates and to obtain and maintain marketing approval for those product candidates.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0" w:lineRule="exact"/>
        <w:rPr>
          <w:sz w:val="20"/>
          <w:szCs w:val="20"/>
          <w:color w:val="auto"/>
        </w:rPr>
      </w:pPr>
    </w:p>
    <w:p>
      <w:pPr>
        <w:ind w:left="780" w:hanging="651"/>
        <w:spacing w:after="0" w:line="277" w:lineRule="auto"/>
        <w:tabs>
          <w:tab w:leader="none" w:pos="78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any preclinical test or clinical trial may fail to produce safety and efficacy results satisfactory to the FDA or comparable foreign regulatory authorities;</w:t>
      </w:r>
    </w:p>
    <w:p>
      <w:pPr>
        <w:spacing w:after="0" w:line="169" w:lineRule="exact"/>
        <w:rPr>
          <w:rFonts w:ascii="Arial" w:cs="Arial" w:eastAsia="Arial" w:hAnsi="Arial"/>
          <w:sz w:val="18"/>
          <w:szCs w:val="18"/>
          <w:color w:val="231F20"/>
        </w:rPr>
      </w:pPr>
    </w:p>
    <w:p>
      <w:pPr>
        <w:ind w:left="780" w:hanging="651"/>
        <w:spacing w:after="0"/>
        <w:tabs>
          <w:tab w:leader="none" w:pos="78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preclinical and clinical data can be interpreted in different ways, which could delay, limit or prevent marketing approval;</w:t>
      </w:r>
    </w:p>
    <w:p>
      <w:pPr>
        <w:spacing w:after="0" w:line="224" w:lineRule="exact"/>
        <w:rPr>
          <w:rFonts w:ascii="Arial" w:cs="Arial" w:eastAsia="Arial" w:hAnsi="Arial"/>
          <w:sz w:val="18"/>
          <w:szCs w:val="18"/>
          <w:color w:val="231F20"/>
        </w:rPr>
      </w:pPr>
    </w:p>
    <w:p>
      <w:pPr>
        <w:jc w:val="both"/>
        <w:ind w:left="780" w:hanging="651"/>
        <w:spacing w:after="0" w:line="263" w:lineRule="auto"/>
        <w:tabs>
          <w:tab w:leader="none" w:pos="78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2" w:lineRule="exact"/>
        <w:rPr>
          <w:rFonts w:ascii="Arial" w:cs="Arial" w:eastAsia="Arial" w:hAnsi="Arial"/>
          <w:sz w:val="18"/>
          <w:szCs w:val="18"/>
          <w:color w:val="231F20"/>
        </w:rPr>
      </w:pPr>
    </w:p>
    <w:p>
      <w:pPr>
        <w:ind w:left="780" w:hanging="651"/>
        <w:spacing w:after="0" w:line="277" w:lineRule="auto"/>
        <w:tabs>
          <w:tab w:leader="none" w:pos="78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9" w:lineRule="exact"/>
        <w:rPr>
          <w:rFonts w:ascii="Arial" w:cs="Arial" w:eastAsia="Arial" w:hAnsi="Arial"/>
          <w:sz w:val="18"/>
          <w:szCs w:val="18"/>
          <w:color w:val="231F20"/>
        </w:rPr>
      </w:pPr>
    </w:p>
    <w:p>
      <w:pPr>
        <w:jc w:val="both"/>
        <w:ind w:left="780" w:hanging="651"/>
        <w:spacing w:after="0" w:line="263" w:lineRule="auto"/>
        <w:tabs>
          <w:tab w:leader="none" w:pos="78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2" w:lineRule="exact"/>
        <w:rPr>
          <w:rFonts w:ascii="Arial" w:cs="Arial" w:eastAsia="Arial" w:hAnsi="Arial"/>
          <w:sz w:val="18"/>
          <w:szCs w:val="18"/>
          <w:color w:val="231F20"/>
        </w:rPr>
      </w:pPr>
    </w:p>
    <w:p>
      <w:pPr>
        <w:jc w:val="both"/>
        <w:ind w:left="780" w:hanging="651"/>
        <w:spacing w:after="0" w:line="263" w:lineRule="auto"/>
        <w:tabs>
          <w:tab w:leader="none" w:pos="78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we may encounter delays or rejections based on changes in FDA regulations or policies or the regulations or policies of comparable foreign regulatory authorities during the period in which we develop a product candidate, or the period required for regulatory review of a product candidate or marketing application.</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regulatory approval to manufacture or market potential products or that any such application will be reviewed and approved by appropriate regulatory authorities in a timely manner, if at all.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5" w:name="page46"/>
    <w:bookmarkEnd w:id="45"/>
    <w:p>
      <w:pPr>
        <w:jc w:val="both"/>
        <w:ind w:right="20"/>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foreign regulatory authorities. The precise regulatory requirements with which we will have to comply, now and in the future, are uncertain due to the novelty of the gene-based products we are developing.</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 or how long it will take to commercialize our product candidates.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application on a clinical hold even if the RAC has provided a favorable review or an exemption from in-depth, public review. Such committee and advisory group reviews and any new requirements or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early clinical trials, the side effects of drugs are frequently only detectable after they are tested in large, Phase III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to mitigate those serious safety risks, which could impose significant distribution and use restrictions on our products.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drug-related side effects could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conducted a Phase I dose-escalation clinical trial of GEN-1 in combination with the standard of care in neo-adjuvant ovarian cancer starting in the second half of 2015 and plan to expand our ovarian cancer development program to include a Phase I dose escalating trial evaluating GEN-1 in ovarian cancer patients and additional trials in newly diagnosed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authorities and successfully marketed. We cannot guarantee that any of our product candidates will be approved by the FDA or any foreign regulatory authorities or marketed, successfully or otherwise, at any time in the foreseeable future or at all.</w:t>
      </w:r>
    </w:p>
    <w:p>
      <w:pPr>
        <w:spacing w:after="0" w:line="17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and increase our expense and present significant distractions to our management.</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780" w:hanging="651"/>
        <w:spacing w:after="0"/>
        <w:tabs>
          <w:tab w:leader="none" w:pos="7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failure of markets for the products of acquired businesses, technologies or product lines to develop as expected;</w:t>
      </w:r>
    </w:p>
    <w:p>
      <w:pPr>
        <w:spacing w:after="0" w:line="224" w:lineRule="exact"/>
        <w:rPr>
          <w:rFonts w:ascii="Arial" w:cs="Arial" w:eastAsia="Arial" w:hAnsi="Arial"/>
          <w:sz w:val="18"/>
          <w:szCs w:val="18"/>
          <w:color w:val="231F20"/>
        </w:rPr>
      </w:pPr>
    </w:p>
    <w:p>
      <w:pPr>
        <w:ind w:left="780" w:hanging="651"/>
        <w:spacing w:after="0"/>
        <w:tabs>
          <w:tab w:leader="none" w:pos="7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uncertainties in identifying and pursuing acquisition targets;</w:t>
      </w:r>
    </w:p>
    <w:p>
      <w:pPr>
        <w:spacing w:after="0" w:line="224" w:lineRule="exact"/>
        <w:rPr>
          <w:rFonts w:ascii="Arial" w:cs="Arial" w:eastAsia="Arial" w:hAnsi="Arial"/>
          <w:sz w:val="18"/>
          <w:szCs w:val="18"/>
          <w:color w:val="231F20"/>
        </w:rPr>
      </w:pPr>
    </w:p>
    <w:p>
      <w:pPr>
        <w:ind w:left="780" w:hanging="651"/>
        <w:spacing w:after="0"/>
        <w:tabs>
          <w:tab w:leader="none" w:pos="7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challenges in achieving strategic objectives, cost savings and other benefits expected from acquisitions;</w:t>
      </w:r>
    </w:p>
    <w:p>
      <w:pPr>
        <w:spacing w:after="0" w:line="224" w:lineRule="exact"/>
        <w:rPr>
          <w:rFonts w:ascii="Arial" w:cs="Arial" w:eastAsia="Arial" w:hAnsi="Arial"/>
          <w:sz w:val="18"/>
          <w:szCs w:val="18"/>
          <w:color w:val="231F20"/>
        </w:rPr>
      </w:pPr>
    </w:p>
    <w:p>
      <w:pPr>
        <w:ind w:left="780" w:hanging="651"/>
        <w:spacing w:after="0" w:line="277" w:lineRule="auto"/>
        <w:tabs>
          <w:tab w:leader="none" w:pos="7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69" w:lineRule="exact"/>
        <w:rPr>
          <w:rFonts w:ascii="Arial" w:cs="Arial" w:eastAsia="Arial" w:hAnsi="Arial"/>
          <w:sz w:val="18"/>
          <w:szCs w:val="18"/>
          <w:color w:val="231F20"/>
        </w:rPr>
      </w:pPr>
    </w:p>
    <w:p>
      <w:pPr>
        <w:ind w:left="780" w:hanging="651"/>
        <w:spacing w:after="0"/>
        <w:tabs>
          <w:tab w:leader="none" w:pos="7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difficulties in assimilating the acquired businesses, technologies or product lines;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7" w:name="page48"/>
    <w:bookmarkEnd w:id="47"/>
    <w:p>
      <w:pPr>
        <w:ind w:left="780" w:right="20" w:hanging="651"/>
        <w:spacing w:after="0" w:line="277" w:lineRule="auto"/>
        <w:tabs>
          <w:tab w:leader="none" w:pos="7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69" w:lineRule="exact"/>
        <w:rPr>
          <w:rFonts w:ascii="Arial" w:cs="Arial" w:eastAsia="Arial" w:hAnsi="Arial"/>
          <w:sz w:val="18"/>
          <w:szCs w:val="18"/>
          <w:color w:val="231F20"/>
        </w:rPr>
      </w:pPr>
    </w:p>
    <w:p>
      <w:pPr>
        <w:ind w:left="780" w:hanging="651"/>
        <w:spacing w:after="0" w:line="277" w:lineRule="auto"/>
        <w:tabs>
          <w:tab w:leader="none" w:pos="7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69" w:lineRule="exact"/>
        <w:rPr>
          <w:rFonts w:ascii="Arial" w:cs="Arial" w:eastAsia="Arial" w:hAnsi="Arial"/>
          <w:sz w:val="18"/>
          <w:szCs w:val="18"/>
          <w:color w:val="231F20"/>
        </w:rPr>
      </w:pPr>
    </w:p>
    <w:p>
      <w:pPr>
        <w:ind w:left="780" w:hanging="651"/>
        <w:spacing w:after="0"/>
        <w:tabs>
          <w:tab w:leader="none" w:pos="7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diversion of management’s attention from other business concerns;</w:t>
      </w:r>
    </w:p>
    <w:p>
      <w:pPr>
        <w:spacing w:after="0" w:line="224" w:lineRule="exact"/>
        <w:rPr>
          <w:rFonts w:ascii="Arial" w:cs="Arial" w:eastAsia="Arial" w:hAnsi="Arial"/>
          <w:sz w:val="18"/>
          <w:szCs w:val="18"/>
          <w:color w:val="231F20"/>
        </w:rPr>
      </w:pPr>
    </w:p>
    <w:p>
      <w:pPr>
        <w:ind w:left="780" w:hanging="651"/>
        <w:spacing w:after="0"/>
        <w:tabs>
          <w:tab w:leader="none" w:pos="7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4" w:lineRule="exact"/>
        <w:rPr>
          <w:rFonts w:ascii="Arial" w:cs="Arial" w:eastAsia="Arial" w:hAnsi="Arial"/>
          <w:sz w:val="18"/>
          <w:szCs w:val="18"/>
          <w:color w:val="231F20"/>
        </w:rPr>
      </w:pPr>
    </w:p>
    <w:p>
      <w:pPr>
        <w:ind w:left="780" w:hanging="651"/>
        <w:spacing w:after="0"/>
        <w:tabs>
          <w:tab w:leader="none" w:pos="7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risks associated with assuming the legal obligations of acquired businesses, technologies or product lines;</w:t>
      </w:r>
    </w:p>
    <w:p>
      <w:pPr>
        <w:spacing w:after="0" w:line="224" w:lineRule="exact"/>
        <w:rPr>
          <w:rFonts w:ascii="Arial" w:cs="Arial" w:eastAsia="Arial" w:hAnsi="Arial"/>
          <w:sz w:val="18"/>
          <w:szCs w:val="18"/>
          <w:color w:val="231F20"/>
        </w:rPr>
      </w:pPr>
    </w:p>
    <w:p>
      <w:pPr>
        <w:ind w:left="780" w:right="20" w:hanging="651"/>
        <w:spacing w:after="0" w:line="277" w:lineRule="auto"/>
        <w:tabs>
          <w:tab w:leader="none" w:pos="7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69" w:lineRule="exact"/>
        <w:rPr>
          <w:rFonts w:ascii="Arial" w:cs="Arial" w:eastAsia="Arial" w:hAnsi="Arial"/>
          <w:sz w:val="18"/>
          <w:szCs w:val="18"/>
          <w:color w:val="231F20"/>
        </w:rPr>
      </w:pPr>
    </w:p>
    <w:p>
      <w:pPr>
        <w:ind w:left="780" w:hanging="651"/>
        <w:spacing w:after="0"/>
        <w:tabs>
          <w:tab w:leader="none" w:pos="7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potential loss of key employees related to acquired businesses, technologies or product lines; and</w:t>
      </w:r>
    </w:p>
    <w:p>
      <w:pPr>
        <w:spacing w:after="0" w:line="224" w:lineRule="exact"/>
        <w:rPr>
          <w:rFonts w:ascii="Arial" w:cs="Arial" w:eastAsia="Arial" w:hAnsi="Arial"/>
          <w:sz w:val="18"/>
          <w:szCs w:val="18"/>
          <w:color w:val="231F20"/>
        </w:rPr>
      </w:pPr>
    </w:p>
    <w:p>
      <w:pPr>
        <w:ind w:left="780" w:hanging="651"/>
        <w:spacing w:after="0"/>
        <w:tabs>
          <w:tab w:leader="none" w:pos="7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56"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spacing w:after="0" w:line="254"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spacing w:after="0" w:line="260"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6"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contract research organizations (CROs), clinical data management organizations and consultants to design, conduct, supervise and monitor our clinical trials.</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and foreign regulatory authorities require clinical trials to be conducted in accordance with good clinical practices (“GCPs”)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6"/>
          <w:szCs w:val="16"/>
          <w:b w:val="1"/>
          <w:bCs w:val="1"/>
          <w:i w:val="1"/>
          <w:iCs w:val="1"/>
          <w:u w:val="single" w:color="auto"/>
          <w:color w:val="auto"/>
        </w:rPr>
        <w:t>ClinicalTrials.gov</w:t>
      </w:r>
      <w:r>
        <w:rPr>
          <w:rFonts w:ascii="Arial" w:cs="Arial" w:eastAsia="Arial" w:hAnsi="Arial"/>
          <w:sz w:val="16"/>
          <w:szCs w:val="16"/>
          <w:color w:val="auto"/>
        </w:rPr>
        <w:t xml:space="preserve"> ,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(“GMPs”). These third-party supply and manufacturing partners are also subject to rigorous inspections by the FDA and foreign regulatory authorities to ensure compliance with GMPs.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9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authorities.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0" w:name="page51"/>
    <w:bookmarkEnd w:id="50"/>
    <w:p>
      <w:pPr>
        <w:jc w:val="both"/>
        <w:ind w:right="20"/>
        <w:spacing w:after="0" w:line="279" w:lineRule="auto"/>
        <w:rPr>
          <w:sz w:val="20"/>
          <w:szCs w:val="20"/>
          <w:color w:val="auto"/>
        </w:rPr>
      </w:pPr>
      <w:r>
        <w:rPr>
          <w:rFonts w:ascii="Arial" w:cs="Arial" w:eastAsia="Arial" w:hAnsi="Arial"/>
          <w:sz w:val="17"/>
          <w:szCs w:val="17"/>
          <w:color w:val="auto"/>
        </w:rPr>
        <w:t>The FDA and foreign regulatory authorities require that the safety and efficacy of product candidates be supported through adequate and well-controlled clinical trials. If the results of pivotal clinical trials do not establish the safety and efficacy of our product candidates to the satisfaction of the FDA and foreign regulatory authorities,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the periodic inspection of our clinical trials, facilities, procedures and operations by the FDA and foreign regulatory authorities to determine whether our systems and processes, or those of our vendors and suppliers, are in compliance with FDA regulations or applicable foreign regulatory authorities regulations. Following such inspections, the FDA may issue an FDA Form 483 which contains observations of violative conditions observed during the inspection, requiring management corrective responses. FDA may also issue warning letters in response to such inspections that could cause us to modify certain activities identified during the inspection. Foreign regulatory authorities have similar inspectional and enforcement authority.</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civil or criminal prosecution. Under certain circumstances, the FDA also has the authority to revoke previously granted product approvals. Although we have internal compliance programs, if these programs do not meet regulatory authority standards or if our compliance is deemed deficient in any significant way, it could have a material adverse effect on the Company. Foreign regulatory authorities have similar sanctions and enforcement authority.</w:t>
      </w:r>
    </w:p>
    <w:p>
      <w:pPr>
        <w:spacing w:after="0" w:line="16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are also subject to extensive recordkeeping and reporting regulations. These regulations require, among other things, the reporting to the FDA and foreign regulatory authorities of adverse events alleged to have been associated with the use of a product or in connection with certain product failures.</w:t>
      </w:r>
    </w:p>
    <w:p>
      <w:pPr>
        <w:spacing w:after="0" w:line="147"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Labeling and promotional activities also are regulated by the FDA and foreign regulatory authorities. In addition, regulatory authorities, through the approval process, regulations and otherwise, can impose other post-marketing controls on us and our products including, but not limited to, restrictions on sale and use.</w:t>
      </w:r>
    </w:p>
    <w:p>
      <w:pPr>
        <w:spacing w:after="0" w:line="1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Many states in which we do or may do business, or in which our products may be sold, impose registration, licensing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authorities as well as by local authorities affecting, among other things, product standards, packaging requirements, labeling requirements, import restrictions, tariff regulations, duties and tax requirements. There can be no assurance that one or more countries or authorities will not impose regulations or requirements that could have a material adverse effect on our ability to sell our products.</w:t>
      </w:r>
    </w:p>
    <w:p>
      <w:pPr>
        <w:spacing w:after="0" w:line="16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the EU. As part of our business strategy, we may seek Orphan Drug Designation for other product candidates, and we may be unsuccessful. Regulatory authorities in some jurisdictions, including the U.S. and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ThermoDox® has received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development program or pivotal trials.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For example, the Affordable Care Act, passed in 2010,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Further, the 2016 Presidential and Congressional elections and subsequent developments have caused the future state of many core aspects of the current health care marketplace to be uncertain, as the new Presidential Administration and Congress have repeatedly expressed a desire to repeal all or portions of the Affordable Care Act.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preclinical and clinical studies and trials may not confirm the safety and efficacy of our product candidates or even if further testing and clinical practice produce positive results, the medical community may not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of our current clinical trials are being conducted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GCP’s and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U.S. must be representative of the population for whom we intend to label the product in the U.S.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U.S. If the FDA does not accept the data from such clinical trials, it would likely result in the need for additional trials, which would be costly and time-consuming and delay or permanently halt our development of our product candidates.</w:t>
      </w:r>
    </w:p>
    <w:p>
      <w:pPr>
        <w:spacing w:after="0" w:line="17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marketing or distribution capability. If we are unable to create sales, marketing and distribution capabilities or enter into alliances with others possessing such capabilities to perform these functions, we will not be able to commercialize our products successfully.</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authorities,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3" w:name="page54"/>
    <w:bookmarkEnd w:id="53"/>
    <w:p>
      <w:pPr>
        <w:jc w:val="both"/>
        <w:ind w:right="20"/>
        <w:spacing w:after="0" w:line="281"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jc w:val="both"/>
        <w:ind w:right="20"/>
        <w:spacing w:after="0" w:line="281" w:lineRule="auto"/>
        <w:rPr>
          <w:sz w:val="20"/>
          <w:szCs w:val="20"/>
          <w:color w:val="auto"/>
        </w:rPr>
      </w:pPr>
      <w:r>
        <w:rPr>
          <w:rFonts w:ascii="Arial" w:cs="Arial" w:eastAsia="Arial" w:hAnsi="Arial"/>
          <w:sz w:val="18"/>
          <w:szCs w:val="18"/>
          <w:b w:val="1"/>
          <w:bCs w:val="1"/>
          <w:color w:val="auto"/>
        </w:rPr>
        <w:t>Our employees, clinical trial investigators, CROs, consultants, vendors and any potential commercial partners may engage in misconduct or other improper activities, including non-compliance with regulatory standards and requirements and insider trading.</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government,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$27.02 and a low price of $4.20 in the 52-week period ended December 31, 2016, a high price of $7.14 and a low price of $1.28 in the 52-week period ended December 31, 2017, and a high price of $3.32 and a low price of $1.99 from January 1, 2018 through November 13, 2018. Among the factors that may cause the market price of our common stock to fluctuate are the risks described in</w:t>
      </w:r>
    </w:p>
    <w:p>
      <w:pPr>
        <w:spacing w:after="0" w:line="183" w:lineRule="exact"/>
        <w:rPr>
          <w:sz w:val="20"/>
          <w:szCs w:val="20"/>
          <w:color w:val="auto"/>
        </w:rPr>
      </w:pPr>
    </w:p>
    <w:p>
      <w:pPr>
        <w:ind w:left="780" w:hanging="651"/>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7" w:lineRule="exact"/>
        <w:rPr>
          <w:rFonts w:ascii="Arial" w:cs="Arial" w:eastAsia="Arial" w:hAnsi="Arial"/>
          <w:sz w:val="16"/>
          <w:szCs w:val="16"/>
          <w:color w:val="auto"/>
        </w:rPr>
      </w:pPr>
    </w:p>
    <w:p>
      <w:pPr>
        <w:ind w:left="780" w:hanging="651"/>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actions taken by regulatory authorities with respect to our product candidates, clinical studies, manufacturing process or sales and marketing terms;</w:t>
      </w:r>
    </w:p>
    <w:p>
      <w:pPr>
        <w:spacing w:after="0" w:line="247" w:lineRule="exact"/>
        <w:rPr>
          <w:rFonts w:ascii="Arial" w:cs="Arial" w:eastAsia="Arial" w:hAnsi="Arial"/>
          <w:sz w:val="16"/>
          <w:szCs w:val="16"/>
          <w:color w:val="auto"/>
        </w:rPr>
      </w:pPr>
    </w:p>
    <w:p>
      <w:pPr>
        <w:ind w:left="780" w:hanging="651"/>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5" w:name="page56"/>
    <w:bookmarkEnd w:id="55"/>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4"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69"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4" w:lineRule="exact"/>
        <w:rPr>
          <w:rFonts w:ascii="Arial" w:cs="Arial" w:eastAsia="Arial" w:hAnsi="Arial"/>
          <w:sz w:val="18"/>
          <w:szCs w:val="18"/>
          <w:color w:val="auto"/>
        </w:rPr>
      </w:pPr>
    </w:p>
    <w:p>
      <w:pPr>
        <w:ind w:left="780" w:hanging="65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November 13, 2018, we had 18,731,834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both"/>
        <w:ind w:right="20"/>
        <w:spacing w:after="0" w:line="281"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November 13, 2018, we have a significant number of securities convertible into, or allowing the purchase of, our common stock, including 1,607,427 shares of common stock issuable upon exercise of warrants outstanding, 3,171,243 options to purchase shares of our common stock and restricted stock awards outstanding, and 335,152 shares of common stock reserved for future issuance under our stock incentive plans. On August 31, 2018, we entered into the Aspire Purchase Agreement with Aspire Capital which provides that, upon the terms and subject to the conditions and limitations set forth therein, Aspire Capital is committed to purchase up to an aggregate of $15.0 million of shares of the Company’s common stock over the 24-month term of the Aspire Purchase Agreement. We have not sold any shares under the Aspire Purchase Agreement as of November 13, 2018.</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November 13, 2018, the closing sale price per share of our common stock was $2.15, the total market value of our publicly held shares of our common stock (excluding shares held by our executive officers, directors and 10% or more stockholders) was approximately $40.0 million and the total market value of our listed securities was approximately $40.3 million. There is no assurance that we will continue to meet the minimum closing price requirement and other listing requirements. As of September 30, 2018, we had stockholders’ equity of approximately $15.1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22, 2017, the President of the U.S. signed into law the Tax Reform Act. The Tax Reform Act significantly changed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reduced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2017, 2016 and years prior, we performed analyses to determine if there were changes in ownership, as defined by Section 382 of the Internal Revenue Code that would limit our ability to utilize certain net operating loss and tax credit carry forwards. We determined we experienced ownership, as defined by Section 382, in connection with certain common stock offerings in 2011, 2013, 2015 and 2017.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40" w:hanging="633"/>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77">
        <w:r>
          <w:rPr>
            <w:rFonts w:ascii="Arial" w:cs="Arial" w:eastAsia="Arial" w:hAnsi="Arial"/>
            <w:sz w:val="18"/>
            <w:szCs w:val="18"/>
            <w:u w:val="single" w:color="auto"/>
            <w:color w:val="0000EE"/>
          </w:rPr>
          <w:t>Registration Rights Agreement, dated August 31, 2018, between Celsion Corporation and Aspire Capital Fund, LLC incorporated by reference to</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Exhibit 4.1 to the Cucrrent Report on Form 8-K of the Company filed on September 4, 2018</w:t>
        </w:r>
      </w:hyperlink>
    </w:p>
    <w:p>
      <w:pPr>
        <w:spacing w:after="0" w:line="170" w:lineRule="exact"/>
        <w:rPr>
          <w:sz w:val="20"/>
          <w:szCs w:val="20"/>
          <w:color w:val="auto"/>
        </w:rPr>
      </w:pPr>
    </w:p>
    <w:p>
      <w:pPr>
        <w:ind w:left="640" w:hanging="633"/>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78">
        <w:r>
          <w:rPr>
            <w:rFonts w:ascii="Arial" w:cs="Arial" w:eastAsia="Arial" w:hAnsi="Arial"/>
            <w:sz w:val="18"/>
            <w:szCs w:val="18"/>
            <w:u w:val="single" w:color="auto"/>
            <w:color w:val="0000EE"/>
          </w:rPr>
          <w:t>Common Stock Purchase Agreement, dated August 31, 2018 between Celsion Corporation and Aspire Capital Fund, LLC incorporated by reference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to Exhibit 10.1 to the Current Report on Form 8-K of the Company filed on September 4, 2018.</w:t>
        </w:r>
      </w:hyperlink>
    </w:p>
    <w:p>
      <w:pPr>
        <w:spacing w:after="0" w:line="170" w:lineRule="exact"/>
        <w:rPr>
          <w:sz w:val="20"/>
          <w:szCs w:val="20"/>
          <w:color w:val="auto"/>
        </w:rPr>
      </w:pPr>
    </w:p>
    <w:p>
      <w:pPr>
        <w:spacing w:after="0"/>
        <w:tabs>
          <w:tab w:leader="none" w:pos="62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62">
        <w:r>
          <w:rPr>
            <w:rFonts w:ascii="Arial" w:cs="Arial" w:eastAsia="Arial" w:hAnsi="Arial"/>
            <w:sz w:val="17"/>
            <w:szCs w:val="17"/>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2002.</w:t>
        </w:r>
      </w:hyperlink>
    </w:p>
    <w:p>
      <w:pPr>
        <w:spacing w:after="0" w:line="210"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4">
        <w:r>
          <w:rPr>
            <w:rFonts w:ascii="Arial" w:cs="Arial" w:eastAsia="Arial" w:hAnsi="Arial"/>
            <w:sz w:val="16"/>
            <w:szCs w:val="16"/>
            <w:u w:val="single" w:color="auto"/>
            <w:color w:val="0000EE"/>
          </w:rPr>
          <w:t>Certification of Chief Financial Officer pursuant to Rule 13a-14(a)/15d-14(a), as adopted pursuant to Section 302 of the Sarbanes-Oxley Act of 2002.</w:t>
        </w:r>
      </w:hyperlink>
    </w:p>
    <w:p>
      <w:pPr>
        <w:spacing w:after="0" w:line="225"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66">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640" w:hanging="639"/>
        <w:spacing w:after="0" w:line="279" w:lineRule="auto"/>
        <w:tabs>
          <w:tab w:leader="none" w:pos="620" w:val="left"/>
        </w:tabs>
        <w:rPr>
          <w:sz w:val="20"/>
          <w:szCs w:val="20"/>
          <w:color w:val="auto"/>
        </w:rPr>
      </w:pPr>
      <w:r>
        <w:rPr>
          <w:rFonts w:ascii="Arial" w:cs="Arial" w:eastAsia="Arial" w:hAnsi="Arial"/>
          <w:sz w:val="17"/>
          <w:szCs w:val="17"/>
          <w:color w:val="auto"/>
        </w:rPr>
        <w:t>101**</w:t>
        <w:tab/>
        <w:t>The following materials from the Company’s Quarterly Report on Form 10-Q for the quarter ended June 30, 2018,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70" w:lineRule="exact"/>
        <w:rPr>
          <w:sz w:val="20"/>
          <w:szCs w:val="20"/>
          <w:color w:val="auto"/>
        </w:rPr>
      </w:pPr>
    </w:p>
    <w:p>
      <w:pPr>
        <w:jc w:val="both"/>
        <w:ind w:left="640" w:hanging="421"/>
        <w:spacing w:after="0" w:line="311"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48" w:lineRule="exact"/>
        <w:rPr>
          <w:sz w:val="20"/>
          <w:szCs w:val="20"/>
          <w:color w:val="auto"/>
        </w:rPr>
      </w:pPr>
    </w:p>
    <w:p>
      <w:pPr>
        <w:ind w:left="640" w:hanging="46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34004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40042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34004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40042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1.I have reviewed this quarterly report on Form 10-Q of Celsion Corporation;</w:t>
      </w:r>
    </w:p>
    <w:p>
      <w:pPr>
        <w:spacing w:after="0" w:line="225" w:lineRule="exact"/>
        <w:rPr>
          <w:sz w:val="20"/>
          <w:szCs w:val="20"/>
          <w:color w:val="auto"/>
        </w:rPr>
      </w:pPr>
    </w:p>
    <w:p>
      <w:pPr>
        <w:jc w:val="both"/>
        <w:ind w:left="260" w:hanging="134"/>
        <w:spacing w:after="0" w:line="341"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sz w:val="20"/>
          <w:szCs w:val="20"/>
          <w:color w:val="auto"/>
        </w:rPr>
      </w:pPr>
    </w:p>
    <w:p>
      <w:pPr>
        <w:jc w:val="both"/>
        <w:ind w:left="260" w:hanging="134"/>
        <w:spacing w:after="0" w:line="277"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260" w:hanging="134"/>
        <w:spacing w:after="0" w:line="263"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3" w:lineRule="exact"/>
        <w:rPr>
          <w:sz w:val="20"/>
          <w:szCs w:val="20"/>
          <w:color w:val="auto"/>
        </w:rPr>
      </w:pPr>
    </w:p>
    <w:p>
      <w:pPr>
        <w:jc w:val="both"/>
        <w:ind w:left="420" w:hanging="215"/>
        <w:spacing w:after="0" w:line="263"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sz w:val="20"/>
          <w:szCs w:val="20"/>
          <w:color w:val="auto"/>
        </w:rPr>
      </w:pPr>
    </w:p>
    <w:p>
      <w:pPr>
        <w:jc w:val="both"/>
        <w:ind w:left="420" w:hanging="215"/>
        <w:spacing w:after="0" w:line="263"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ind w:left="420" w:hanging="215"/>
        <w:spacing w:after="0" w:line="277"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jc w:val="both"/>
        <w:ind w:left="420" w:hanging="215"/>
        <w:spacing w:after="0" w:line="307"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sz w:val="20"/>
          <w:szCs w:val="20"/>
          <w:color w:val="auto"/>
        </w:rPr>
      </w:pPr>
    </w:p>
    <w:p>
      <w:pPr>
        <w:ind w:left="260" w:hanging="134"/>
        <w:spacing w:after="0" w:line="277"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left="420" w:hanging="215"/>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420" w:hanging="215"/>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34004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40042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1.I have reviewed this quarterly report on Form 10-Q of Celsion Corporation;</w:t>
      </w:r>
    </w:p>
    <w:p>
      <w:pPr>
        <w:spacing w:after="0" w:line="225" w:lineRule="exact"/>
        <w:rPr>
          <w:sz w:val="20"/>
          <w:szCs w:val="20"/>
          <w:color w:val="auto"/>
        </w:rPr>
      </w:pPr>
    </w:p>
    <w:p>
      <w:pPr>
        <w:jc w:val="both"/>
        <w:ind w:left="260" w:hanging="134"/>
        <w:spacing w:after="0" w:line="341"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sz w:val="20"/>
          <w:szCs w:val="20"/>
          <w:color w:val="auto"/>
        </w:rPr>
      </w:pPr>
    </w:p>
    <w:p>
      <w:pPr>
        <w:jc w:val="both"/>
        <w:ind w:left="260" w:hanging="134"/>
        <w:spacing w:after="0" w:line="277"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260" w:hanging="134"/>
        <w:spacing w:after="0" w:line="263"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3" w:lineRule="exact"/>
        <w:rPr>
          <w:sz w:val="20"/>
          <w:szCs w:val="20"/>
          <w:color w:val="auto"/>
        </w:rPr>
      </w:pPr>
    </w:p>
    <w:p>
      <w:pPr>
        <w:jc w:val="both"/>
        <w:ind w:left="420" w:hanging="215"/>
        <w:spacing w:after="0" w:line="263"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sz w:val="20"/>
          <w:szCs w:val="20"/>
          <w:color w:val="auto"/>
        </w:rPr>
      </w:pPr>
    </w:p>
    <w:p>
      <w:pPr>
        <w:jc w:val="both"/>
        <w:ind w:left="420" w:hanging="215"/>
        <w:spacing w:after="0" w:line="263"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ind w:left="420" w:hanging="215"/>
        <w:spacing w:after="0" w:line="277"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jc w:val="both"/>
        <w:ind w:left="420" w:hanging="215"/>
        <w:spacing w:after="0" w:line="307"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sz w:val="20"/>
          <w:szCs w:val="20"/>
          <w:color w:val="auto"/>
        </w:rPr>
      </w:pPr>
    </w:p>
    <w:p>
      <w:pPr>
        <w:ind w:left="260" w:hanging="134"/>
        <w:spacing w:after="0" w:line="277"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left="420" w:hanging="215"/>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420" w:hanging="215"/>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34004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40042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2018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34004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40042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1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34004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40042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210" w:lineRule="exact"/>
        <w:rPr>
          <w:sz w:val="20"/>
          <w:szCs w:val="20"/>
          <w:color w:val="auto"/>
        </w:rPr>
      </w:pPr>
    </w:p>
    <w:p>
      <w:pPr>
        <w:jc w:val="both"/>
        <w:ind w:firstLine="8"/>
        <w:spacing w:after="0" w:line="263" w:lineRule="auto"/>
        <w:tabs>
          <w:tab w:leader="none" w:pos="1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606"/>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77" Type="http://schemas.openxmlformats.org/officeDocument/2006/relationships/hyperlink" Target="http://www.sec.gov/Archives/edgar/data/749647/000143774918016495/ex_123282.htm" TargetMode="External"/><Relationship Id="rId78" Type="http://schemas.openxmlformats.org/officeDocument/2006/relationships/hyperlink" Target="http://www.sec.gov/Archives/edgar/data/749647/000143774918016495/ex_12328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2019-12-28T17:53:18Z</dcterms:created>
  <dcterms:modified xsi:type="dcterms:W3CDTF">2019-12-28T17:53:18Z</dcterms:modified>
</cp:coreProperties>
</file>