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3940" w:right="2240" w:hanging="3895"/>
        <w:spacing w:after="0" w:line="500" w:lineRule="auto"/>
        <w:tabs>
          <w:tab w:leader="none" w:pos="33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2020</w:t>
      </w:r>
    </w:p>
    <w:p>
      <w:pPr>
        <w:spacing w:after="0" w:line="1"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3340" w:right="2220" w:hanging="3275"/>
        <w:spacing w:after="0" w:line="530" w:lineRule="auto"/>
        <w:tabs>
          <w:tab w:leader="none" w:pos="217" w:val="left"/>
        </w:tabs>
        <w:numPr>
          <w:ilvl w:val="0"/>
          <w:numId w:val="2"/>
        </w:numPr>
        <w:rPr>
          <w:rFonts w:ascii="Arial" w:cs="Arial" w:eastAsia="Arial" w:hAnsi="Arial"/>
          <w:sz w:val="17"/>
          <w:szCs w:val="17"/>
          <w:color w:val="auto"/>
        </w:rPr>
      </w:pPr>
      <w:r>
        <w:rPr>
          <w:rFonts w:ascii="Arial" w:cs="Arial" w:eastAsia="Arial" w:hAnsi="Arial"/>
          <w:sz w:val="17"/>
          <w:szCs w:val="17"/>
          <w:color w:val="auto"/>
        </w:rPr>
        <w:t>] TRANSITION REPORT PURSUANT TO SECTION 13 OR 15(d) OF THE SECURITIES EXCHANGE ACT OF 1934 For the transition period from ____________ to ____________</w:t>
      </w:r>
    </w:p>
    <w:p>
      <w:pPr>
        <w:ind w:left="4300"/>
        <w:spacing w:after="0"/>
        <w:rPr>
          <w:rFonts w:ascii="Arial" w:cs="Arial" w:eastAsia="Arial" w:hAnsi="Arial"/>
          <w:sz w:val="17"/>
          <w:szCs w:val="17"/>
          <w:color w:val="auto"/>
        </w:rPr>
      </w:pPr>
      <w:r>
        <w:rPr>
          <w:rFonts w:ascii="Arial" w:cs="Arial" w:eastAsia="Arial" w:hAnsi="Arial"/>
          <w:sz w:val="18"/>
          <w:szCs w:val="18"/>
          <w:color w:val="auto"/>
        </w:rPr>
        <w:t>Commission file number: 001-15911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CELSION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020" w:type="dxa"/>
            <w:vAlign w:val="bottom"/>
          </w:tcPr>
          <w:p>
            <w:pPr>
              <w:jc w:val="center"/>
              <w:ind w:left="1410"/>
              <w:spacing w:after="0"/>
              <w:rPr>
                <w:sz w:val="20"/>
                <w:szCs w:val="20"/>
                <w:color w:val="auto"/>
              </w:rPr>
            </w:pPr>
            <w:r>
              <w:rPr>
                <w:rFonts w:ascii="Arial" w:cs="Arial" w:eastAsia="Arial" w:hAnsi="Arial"/>
                <w:sz w:val="18"/>
                <w:szCs w:val="18"/>
                <w:b w:val="1"/>
                <w:bCs w:val="1"/>
                <w:color w:val="auto"/>
                <w:w w:val="91"/>
              </w:rPr>
              <w:t>Delaware</w:t>
            </w:r>
          </w:p>
        </w:tc>
        <w:tc>
          <w:tcPr>
            <w:tcW w:w="7220" w:type="dxa"/>
            <w:vAlign w:val="bottom"/>
            <w:gridSpan w:val="3"/>
          </w:tcPr>
          <w:p>
            <w:pPr>
              <w:jc w:val="center"/>
              <w:ind w:left="1630"/>
              <w:spacing w:after="0"/>
              <w:rPr>
                <w:sz w:val="20"/>
                <w:szCs w:val="20"/>
                <w:color w:val="auto"/>
              </w:rPr>
            </w:pPr>
            <w:r>
              <w:rPr>
                <w:rFonts w:ascii="Arial" w:cs="Arial" w:eastAsia="Arial" w:hAnsi="Arial"/>
                <w:sz w:val="18"/>
                <w:szCs w:val="18"/>
                <w:b w:val="1"/>
                <w:bCs w:val="1"/>
                <w:color w:val="auto"/>
                <w:w w:val="89"/>
              </w:rPr>
              <w:t>52-1256615</w:t>
            </w:r>
          </w:p>
        </w:tc>
      </w:tr>
      <w:tr>
        <w:trPr>
          <w:trHeight w:val="202"/>
        </w:trPr>
        <w:tc>
          <w:tcPr>
            <w:tcW w:w="4020" w:type="dxa"/>
            <w:vAlign w:val="bottom"/>
            <w:tcBorders>
              <w:top w:val="single" w:sz="8" w:color="auto"/>
            </w:tcBorders>
          </w:tcPr>
          <w:p>
            <w:pPr>
              <w:jc w:val="center"/>
              <w:ind w:left="141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20" w:type="dxa"/>
            <w:vAlign w:val="bottom"/>
          </w:tcPr>
          <w:p>
            <w:pPr>
              <w:jc w:val="center"/>
              <w:ind w:left="141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1"/>
              </w:rPr>
              <w:t>997 Lenox Drive, Suite 100,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1"/>
              </w:rPr>
              <w:t>Lawrenceville</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NJ 08648</w:t>
            </w:r>
          </w:p>
        </w:tc>
      </w:tr>
      <w:tr>
        <w:trPr>
          <w:trHeight w:val="230"/>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Name of each exchange on</w:t>
            </w:r>
          </w:p>
        </w:tc>
      </w:tr>
      <w:tr>
        <w:trPr>
          <w:trHeight w:val="237"/>
        </w:trPr>
        <w:tc>
          <w:tcPr>
            <w:tcW w:w="4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Trading symbol(s)</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CLSN</w:t>
            </w:r>
          </w:p>
        </w:tc>
        <w:tc>
          <w:tcPr>
            <w:tcW w:w="10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6" w:right="339" w:bottom="781" w:gutter="0" w:footer="0" w:header="0"/>
        </w:sectPr>
      </w:pPr>
    </w:p>
    <w:p>
      <w:pPr>
        <w:spacing w:after="0" w:line="18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Large accelerated filer [ ]</w:t>
      </w:r>
    </w:p>
    <w:p>
      <w:pPr>
        <w:spacing w:after="0" w:line="46" w:lineRule="exact"/>
        <w:rPr>
          <w:sz w:val="24"/>
          <w:szCs w:val="24"/>
          <w:color w:val="auto"/>
        </w:rPr>
      </w:pPr>
    </w:p>
    <w:p>
      <w:pPr>
        <w:ind w:left="340"/>
        <w:spacing w:after="0"/>
        <w:rPr>
          <w:sz w:val="20"/>
          <w:szCs w:val="20"/>
          <w:color w:val="auto"/>
        </w:rPr>
      </w:pPr>
      <w:r>
        <w:rPr>
          <w:rFonts w:ascii="Arial" w:cs="Arial" w:eastAsia="Arial" w:hAnsi="Arial"/>
          <w:sz w:val="17"/>
          <w:szCs w:val="17"/>
          <w:color w:val="auto"/>
        </w:rPr>
        <w:t>Non-accelerated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2" w:lineRule="exact"/>
        <w:rPr>
          <w:sz w:val="24"/>
          <w:szCs w:val="24"/>
          <w:color w:val="auto"/>
        </w:rPr>
      </w:pPr>
    </w:p>
    <w:p>
      <w:pPr>
        <w:sectPr>
          <w:pgSz w:w="11900" w:h="16838" w:orient="portrait"/>
          <w:cols w:equalWidth="0" w:num="2">
            <w:col w:w="6680" w:space="720"/>
            <w:col w:w="3840"/>
          </w:cols>
          <w:pgMar w:left="320" w:top="746" w:right="339" w:bottom="781" w:gutter="0" w:footer="0" w:header="0"/>
          <w:type w:val="continuous"/>
        </w:sectPr>
      </w:pPr>
    </w:p>
    <w:p>
      <w:pPr>
        <w:ind w:left="340"/>
        <w:spacing w:after="0"/>
        <w:rPr>
          <w:sz w:val="20"/>
          <w:szCs w:val="20"/>
          <w:color w:val="auto"/>
        </w:rPr>
      </w:pPr>
      <w:r>
        <w:rPr>
          <w:rFonts w:ascii="Arial" w:cs="Arial" w:eastAsia="Arial" w:hAnsi="Arial"/>
          <w:sz w:val="16"/>
          <w:szCs w:val="16"/>
          <w:color w:val="auto"/>
        </w:rPr>
        <w:t>Emerging growth company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2400" w:space="100"/>
            <w:col w:w="8740"/>
          </w:cols>
          <w:pgMar w:left="320" w:top="746" w:right="339" w:bottom="781"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May 14, 2020, the Registrant had 29,257,101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78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986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CELSION CORPORATION</w:t>
            </w:r>
          </w:p>
        </w:tc>
        <w:tc>
          <w:tcPr>
            <w:tcW w:w="64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986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QUARTERLY REPORT ON</w:t>
            </w:r>
          </w:p>
        </w:tc>
        <w:tc>
          <w:tcPr>
            <w:tcW w:w="64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9860" w:type="dxa"/>
            <w:vAlign w:val="bottom"/>
          </w:tcPr>
          <w:p>
            <w:pPr>
              <w:jc w:val="center"/>
              <w:spacing w:after="0"/>
              <w:rPr>
                <w:sz w:val="20"/>
                <w:szCs w:val="20"/>
                <w:color w:val="auto"/>
              </w:rPr>
            </w:pPr>
            <w:r>
              <w:rPr>
                <w:rFonts w:ascii="Arial" w:cs="Arial" w:eastAsia="Arial" w:hAnsi="Arial"/>
                <w:sz w:val="18"/>
                <w:szCs w:val="18"/>
                <w:b w:val="1"/>
                <w:bCs w:val="1"/>
                <w:color w:val="auto"/>
                <w:w w:val="99"/>
              </w:rPr>
              <w:t>FORM 10-Q</w:t>
            </w:r>
          </w:p>
        </w:tc>
        <w:tc>
          <w:tcPr>
            <w:tcW w:w="640" w:type="dxa"/>
            <w:vAlign w:val="bottom"/>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986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r>
      <w:tr>
        <w:trPr>
          <w:trHeight w:val="459"/>
        </w:trPr>
        <w:tc>
          <w:tcPr>
            <w:tcW w:w="740" w:type="dxa"/>
            <w:vAlign w:val="bottom"/>
            <w:tcBorders>
              <w:bottom w:val="single" w:sz="8" w:color="CCEEFF"/>
            </w:tcBorders>
          </w:tcPr>
          <w:p>
            <w:pPr>
              <w:spacing w:after="0"/>
              <w:rPr>
                <w:sz w:val="24"/>
                <w:szCs w:val="24"/>
                <w:color w:val="auto"/>
              </w:rPr>
            </w:pPr>
          </w:p>
        </w:tc>
        <w:tc>
          <w:tcPr>
            <w:tcW w:w="98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Page(s)</w:t>
            </w:r>
          </w:p>
        </w:tc>
      </w:tr>
      <w:tr>
        <w:trPr>
          <w:trHeight w:val="210"/>
        </w:trPr>
        <w:tc>
          <w:tcPr>
            <w:tcW w:w="1060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64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740" w:type="dxa"/>
            <w:vAlign w:val="bottom"/>
          </w:tcPr>
          <w:p>
            <w:pPr>
              <w:spacing w:after="0"/>
              <w:rPr>
                <w:sz w:val="18"/>
                <w:szCs w:val="18"/>
                <w:color w:val="auto"/>
              </w:rPr>
            </w:pPr>
          </w:p>
        </w:tc>
        <w:tc>
          <w:tcPr>
            <w:tcW w:w="9860" w:type="dxa"/>
            <w:vAlign w:val="bottom"/>
          </w:tcPr>
          <w:p>
            <w:pPr>
              <w:ind w:left="1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740" w:type="dxa"/>
            <w:vAlign w:val="bottom"/>
          </w:tcPr>
          <w:p>
            <w:pPr>
              <w:spacing w:after="0"/>
              <w:rPr>
                <w:sz w:val="18"/>
                <w:szCs w:val="18"/>
                <w:color w:val="auto"/>
              </w:rPr>
            </w:pPr>
          </w:p>
        </w:tc>
        <w:tc>
          <w:tcPr>
            <w:tcW w:w="9860" w:type="dxa"/>
            <w:vAlign w:val="bottom"/>
          </w:tcPr>
          <w:p>
            <w:pPr>
              <w:ind w:left="1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Loss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740" w:type="dxa"/>
            <w:vAlign w:val="bottom"/>
          </w:tcPr>
          <w:p>
            <w:pPr>
              <w:spacing w:after="0"/>
              <w:rPr>
                <w:sz w:val="18"/>
                <w:szCs w:val="18"/>
                <w:color w:val="auto"/>
              </w:rPr>
            </w:pPr>
          </w:p>
        </w:tc>
        <w:tc>
          <w:tcPr>
            <w:tcW w:w="9860" w:type="dxa"/>
            <w:vAlign w:val="bottom"/>
          </w:tcPr>
          <w:p>
            <w:pPr>
              <w:ind w:left="1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Condensed Consolidated Statements of Changes in Stockholders’ Equity</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the Condensed Consolidated Financial Statements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Quantitative and Qualitative Disclosures about Market Risk</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Controls and Procedures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PART II: OTHER INFORMATION</w:t>
              </w:r>
            </w:hyperlink>
          </w:p>
        </w:tc>
        <w:tc>
          <w:tcPr>
            <w:tcW w:w="64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Legal Proceedings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Risk Factors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Unregistered Sales of Equity Securities and Use of Proceeds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r>
      <w:tr>
        <w:trPr>
          <w:trHeight w:val="216"/>
        </w:trPr>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Defaults Upon Senior Securities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r>
      <w:tr>
        <w:trPr>
          <w:trHeight w:val="216"/>
        </w:trPr>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Mine Safety Disclosures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r>
      <w:tr>
        <w:trPr>
          <w:trHeight w:val="216"/>
        </w:trPr>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Other Information</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r>
      <w:tr>
        <w:trPr>
          <w:trHeight w:val="216"/>
        </w:trPr>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Exhibits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SIGNATURES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r>
      <w:tr>
        <w:trPr>
          <w:trHeight w:val="439"/>
        </w:trPr>
        <w:tc>
          <w:tcPr>
            <w:tcW w:w="7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i</w:t>
            </w: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the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and its wholly-owned subsidiary CLSN Laboratories, Inc., also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3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Celsion brand and product names, including but not limited to Celsion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60" w:type="dxa"/>
            <w:vAlign w:val="bottom"/>
            <w:gridSpan w:val="3"/>
          </w:tcPr>
          <w:p>
            <w:pPr>
              <w:jc w:val="center"/>
              <w:ind w:left="3890"/>
              <w:spacing w:after="0"/>
              <w:rPr>
                <w:sz w:val="20"/>
                <w:szCs w:val="20"/>
                <w:color w:val="auto"/>
              </w:rPr>
            </w:pPr>
            <w:r>
              <w:rPr>
                <w:rFonts w:ascii="Arial" w:cs="Arial" w:eastAsia="Arial" w:hAnsi="Arial"/>
                <w:sz w:val="18"/>
                <w:szCs w:val="18"/>
                <w:b w:val="1"/>
                <w:bCs w:val="1"/>
                <w:color w:val="auto"/>
              </w:rPr>
              <w:t>PART I: FINANCIAL INFORMATION</w:t>
            </w: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March 31, 2020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5,746,184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6,875,273</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Investment in debt securities - available for sale, at fair value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9,887,455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7,985,886</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 on investment securities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21,369</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Receivable on sale of net operating losses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1,819,324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1,401,024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1,352,670</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Total current assets</w:t>
            </w:r>
          </w:p>
        </w:tc>
        <w:tc>
          <w:tcPr>
            <w:tcW w:w="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18,876,700</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16,235,198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960" w:type="dxa"/>
            <w:vAlign w:val="bottom"/>
          </w:tcPr>
          <w:p>
            <w:pPr>
              <w:ind w:left="180"/>
              <w:spacing w:after="0" w:line="198" w:lineRule="exact"/>
              <w:rPr>
                <w:sz w:val="20"/>
                <w:szCs w:val="20"/>
                <w:color w:val="auto"/>
              </w:rPr>
            </w:pPr>
            <w:r>
              <w:rPr>
                <w:rFonts w:ascii="Arial" w:cs="Arial" w:eastAsia="Arial" w:hAnsi="Arial"/>
                <w:sz w:val="18"/>
                <w:szCs w:val="18"/>
                <w:b w:val="1"/>
                <w:bCs w:val="1"/>
                <w:color w:val="auto"/>
                <w:w w:val="96"/>
              </w:rPr>
              <w:t>Property and equipment (at cost, less accumulated depreciation of $3,135,681 and</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6960" w:type="dxa"/>
            <w:vAlign w:val="bottom"/>
          </w:tcPr>
          <w:p>
            <w:pPr>
              <w:ind w:left="180"/>
              <w:spacing w:after="0"/>
              <w:rPr>
                <w:sz w:val="20"/>
                <w:szCs w:val="20"/>
                <w:color w:val="auto"/>
              </w:rPr>
            </w:pPr>
            <w:r>
              <w:rPr>
                <w:rFonts w:ascii="Arial" w:cs="Arial" w:eastAsia="Arial" w:hAnsi="Arial"/>
                <w:sz w:val="18"/>
                <w:szCs w:val="18"/>
                <w:b w:val="1"/>
                <w:bCs w:val="1"/>
                <w:color w:val="auto"/>
              </w:rPr>
              <w:t>$3,096,681, respectively)</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374,598</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405,363</w:t>
            </w:r>
          </w:p>
        </w:tc>
      </w:tr>
      <w:tr>
        <w:trPr>
          <w:trHeight w:val="216"/>
        </w:trPr>
        <w:tc>
          <w:tcPr>
            <w:tcW w:w="6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1,819,324</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In-process research and development, net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15,736,491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15,736,491</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1,976,101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1,976,101</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1,339,140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1,431,640</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 net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284,147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340,976</w:t>
            </w:r>
          </w:p>
        </w:tc>
      </w:tr>
      <w:tr>
        <w:trPr>
          <w:trHeight w:val="237"/>
        </w:trPr>
        <w:tc>
          <w:tcPr>
            <w:tcW w:w="6960" w:type="dxa"/>
            <w:vAlign w:val="bottom"/>
          </w:tcPr>
          <w:p>
            <w:pPr>
              <w:ind w:left="360"/>
              <w:spacing w:after="0"/>
              <w:rPr>
                <w:sz w:val="20"/>
                <w:szCs w:val="20"/>
                <w:color w:val="auto"/>
              </w:rPr>
            </w:pPr>
            <w:r>
              <w:rPr>
                <w:rFonts w:ascii="Arial" w:cs="Arial" w:eastAsia="Arial" w:hAnsi="Arial"/>
                <w:sz w:val="18"/>
                <w:szCs w:val="18"/>
                <w:color w:val="auto"/>
              </w:rPr>
              <w:t>Deposits and other assets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349,447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333,274</w:t>
            </w:r>
          </w:p>
        </w:tc>
      </w:tr>
      <w:tr>
        <w:trPr>
          <w:trHeight w:val="223"/>
        </w:trPr>
        <w:tc>
          <w:tcPr>
            <w:tcW w:w="69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other assets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19,685,326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21,637,806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38,936,624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38,278,367</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060" w:type="dxa"/>
            <w:vAlign w:val="bottom"/>
            <w:gridSpan w:val="5"/>
          </w:tcPr>
          <w:p>
            <w:pPr>
              <w:jc w:val="center"/>
              <w:ind w:left="211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Arial" w:cs="Arial" w:eastAsia="Arial" w:hAnsi="Arial"/>
                <w:sz w:val="18"/>
                <w:szCs w:val="18"/>
                <w:color w:val="auto"/>
                <w:w w:val="79"/>
              </w:rPr>
              <w:t>2</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(Continued)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 2020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2019</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 trade</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2,856,378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2,862,949</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1,399,070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2,303,547</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 current portion, net of deferred financing costs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2,276,005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1,840,228</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Operating lease liability - current portion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398,731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387,733</w:t>
            </w:r>
          </w:p>
        </w:tc>
      </w:tr>
      <w:tr>
        <w:trPr>
          <w:trHeight w:val="249"/>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 current portion</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03"/>
        </w:trPr>
        <w:tc>
          <w:tcPr>
            <w:tcW w:w="6960" w:type="dxa"/>
            <w:vAlign w:val="bottom"/>
            <w:tcBorders>
              <w:top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7,430,184</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7,894,457</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Earn-out milestone liability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5,758,983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5,717,709</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 payable, net of deferred financing costs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7,623,738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7,963,449</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Operating lease liability - non-current portion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1,040,183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1,143,717</w:t>
            </w:r>
          </w:p>
        </w:tc>
      </w:tr>
      <w:tr>
        <w:trPr>
          <w:trHeight w:val="249"/>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 non-current portion</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Total liabilities</w:t>
            </w: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22,728,088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23,719,332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60" w:type="dxa"/>
            <w:vAlign w:val="bottom"/>
          </w:tcPr>
          <w:p>
            <w:pPr>
              <w:ind w:left="360"/>
              <w:spacing w:after="0" w:line="201" w:lineRule="exact"/>
              <w:rPr>
                <w:sz w:val="20"/>
                <w:szCs w:val="20"/>
                <w:color w:val="auto"/>
              </w:rPr>
            </w:pPr>
            <w:r>
              <w:rPr>
                <w:rFonts w:ascii="Arial" w:cs="Arial" w:eastAsia="Arial" w:hAnsi="Arial"/>
                <w:sz w:val="18"/>
                <w:szCs w:val="18"/>
                <w:color w:val="auto"/>
                <w:w w:val="95"/>
              </w:rPr>
              <w:t>Preferred stock - $0.01 par value (100,000 shares authorized, and no shares issued or</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60" w:type="dxa"/>
            <w:vAlign w:val="bottom"/>
          </w:tcPr>
          <w:p>
            <w:pPr>
              <w:ind w:left="360"/>
              <w:spacing w:after="0"/>
              <w:rPr>
                <w:sz w:val="20"/>
                <w:szCs w:val="20"/>
                <w:color w:val="auto"/>
              </w:rPr>
            </w:pPr>
            <w:r>
              <w:rPr>
                <w:rFonts w:ascii="Arial" w:cs="Arial" w:eastAsia="Arial" w:hAnsi="Arial"/>
                <w:sz w:val="18"/>
                <w:szCs w:val="18"/>
                <w:color w:val="auto"/>
              </w:rPr>
              <w:t>outstanding at March 31, 2020 and December 31, 2019)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60" w:type="dxa"/>
            <w:vAlign w:val="bottom"/>
          </w:tcPr>
          <w:p>
            <w:pPr>
              <w:ind w:left="360"/>
              <w:spacing w:after="0" w:line="201" w:lineRule="exact"/>
              <w:rPr>
                <w:sz w:val="20"/>
                <w:szCs w:val="20"/>
                <w:color w:val="auto"/>
              </w:rPr>
            </w:pPr>
            <w:r>
              <w:rPr>
                <w:rFonts w:ascii="Arial" w:cs="Arial" w:eastAsia="Arial" w:hAnsi="Arial"/>
                <w:sz w:val="18"/>
                <w:szCs w:val="18"/>
                <w:color w:val="auto"/>
              </w:rPr>
              <w:t>Common stock - $0.01 par value (112,500,000 shares authorized; 29,257,435 and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w w:val="94"/>
              </w:rPr>
              <w:t>23,256,152 shares issued at March 31, 2020 and December 31, 2019, respectively, and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w w:val="96"/>
              </w:rPr>
              <w:t>29,257,101 and 23,255,818 shares outstanding at March 31, 2020 and December 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60" w:type="dxa"/>
            <w:vAlign w:val="bottom"/>
          </w:tcPr>
          <w:p>
            <w:pPr>
              <w:ind w:left="360"/>
              <w:spacing w:after="0"/>
              <w:rPr>
                <w:sz w:val="20"/>
                <w:szCs w:val="20"/>
                <w:color w:val="auto"/>
              </w:rPr>
            </w:pPr>
            <w:r>
              <w:rPr>
                <w:rFonts w:ascii="Arial" w:cs="Arial" w:eastAsia="Arial" w:hAnsi="Arial"/>
                <w:sz w:val="18"/>
                <w:szCs w:val="18"/>
                <w:color w:val="auto"/>
              </w:rPr>
              <w:t>2019, respectively)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292,574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232,562</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311,570,995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304,885,663</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Accumulated other comprehensive gain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3,813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42,778</w:t>
            </w:r>
          </w:p>
        </w:tc>
      </w:tr>
      <w:tr>
        <w:trPr>
          <w:trHeight w:val="25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(295,573,658)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(290,516,780)</w:t>
            </w:r>
          </w:p>
        </w:tc>
      </w:tr>
      <w:tr>
        <w:trPr>
          <w:trHeight w:val="203"/>
        </w:trPr>
        <w:tc>
          <w:tcPr>
            <w:tcW w:w="6960" w:type="dxa"/>
            <w:vAlign w:val="bottom"/>
            <w:tcBorders>
              <w:top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Total stockholders’ equity before treasury stock</w:t>
            </w: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16,293,724</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14,644,223</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960" w:type="dxa"/>
            <w:vAlign w:val="bottom"/>
          </w:tcPr>
          <w:p>
            <w:pPr>
              <w:ind w:left="360"/>
              <w:spacing w:after="0"/>
              <w:rPr>
                <w:sz w:val="20"/>
                <w:szCs w:val="20"/>
                <w:color w:val="auto"/>
              </w:rPr>
            </w:pPr>
            <w:r>
              <w:rPr>
                <w:rFonts w:ascii="Arial" w:cs="Arial" w:eastAsia="Arial" w:hAnsi="Arial"/>
                <w:sz w:val="18"/>
                <w:szCs w:val="18"/>
                <w:color w:val="auto"/>
              </w:rPr>
              <w:t>Treasury stock, at cost (334 shares at March 31, 2020 and December 31, 2019)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(85,188)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(85,188)</w:t>
            </w:r>
          </w:p>
        </w:tc>
      </w:tr>
      <w:tr>
        <w:trPr>
          <w:trHeight w:val="223"/>
        </w:trPr>
        <w:tc>
          <w:tcPr>
            <w:tcW w:w="69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16,208,536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14,559,035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38,936,624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38,278,367</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Arial" w:cs="Arial" w:eastAsia="Arial" w:hAnsi="Arial"/>
                <w:sz w:val="18"/>
                <w:szCs w:val="18"/>
                <w:color w:val="auto"/>
                <w:w w:val="79"/>
              </w:rPr>
              <w:t>3</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jc w:val="center"/>
              <w:ind w:left="4170"/>
              <w:spacing w:after="0"/>
              <w:rPr>
                <w:sz w:val="20"/>
                <w:szCs w:val="20"/>
                <w:color w:val="auto"/>
              </w:rPr>
            </w:pPr>
            <w:r>
              <w:rPr>
                <w:rFonts w:ascii="Arial" w:cs="Arial" w:eastAsia="Arial" w:hAnsi="Arial"/>
                <w:sz w:val="18"/>
                <w:szCs w:val="18"/>
                <w:b w:val="1"/>
                <w:bCs w:val="1"/>
                <w:color w:val="auto"/>
                <w:w w:val="99"/>
              </w:rPr>
              <w:t>CELSION CORPORATION</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98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CONDENSED CONSOLIDATED</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980" w:type="dxa"/>
            <w:vAlign w:val="bottom"/>
          </w:tcPr>
          <w:p>
            <w:pPr>
              <w:jc w:val="center"/>
              <w:ind w:left="4170"/>
              <w:spacing w:after="0"/>
              <w:rPr>
                <w:sz w:val="20"/>
                <w:szCs w:val="20"/>
                <w:color w:val="auto"/>
              </w:rPr>
            </w:pPr>
            <w:r>
              <w:rPr>
                <w:rFonts w:ascii="Arial" w:cs="Arial" w:eastAsia="Arial" w:hAnsi="Arial"/>
                <w:sz w:val="18"/>
                <w:szCs w:val="18"/>
                <w:b w:val="1"/>
                <w:bCs w:val="1"/>
                <w:color w:val="auto"/>
                <w:w w:val="98"/>
              </w:rPr>
              <w:t>STATEMENTS OF OPERATIONS</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980" w:type="dxa"/>
            <w:vAlign w:val="bottom"/>
          </w:tcPr>
          <w:p>
            <w:pPr>
              <w:jc w:val="center"/>
              <w:ind w:left="4170"/>
              <w:spacing w:after="0"/>
              <w:rPr>
                <w:sz w:val="20"/>
                <w:szCs w:val="20"/>
                <w:color w:val="auto"/>
              </w:rPr>
            </w:pPr>
            <w:r>
              <w:rPr>
                <w:rFonts w:ascii="Arial" w:cs="Arial" w:eastAsia="Arial" w:hAnsi="Arial"/>
                <w:sz w:val="18"/>
                <w:szCs w:val="18"/>
                <w:b w:val="1"/>
                <w:bCs w:val="1"/>
                <w:color w:val="auto"/>
                <w:w w:val="91"/>
              </w:rPr>
              <w:t>(Unaudited)</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69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69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Technology development and licensing revenue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125,000</w:t>
            </w: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125,000</w:t>
            </w:r>
          </w:p>
        </w:tc>
        <w:tc>
          <w:tcPr>
            <w:tcW w:w="80" w:type="dxa"/>
            <w:vAlign w:val="bottom"/>
            <w:shd w:val="clear" w:color="auto" w:fill="CCEEFF"/>
          </w:tcPr>
          <w:p>
            <w:pPr>
              <w:spacing w:after="0"/>
              <w:rPr>
                <w:sz w:val="20"/>
                <w:szCs w:val="20"/>
                <w:color w:val="auto"/>
              </w:rPr>
            </w:pPr>
          </w:p>
        </w:tc>
      </w:tr>
      <w:tr>
        <w:trPr>
          <w:trHeight w:val="216"/>
        </w:trPr>
        <w:tc>
          <w:tcPr>
            <w:tcW w:w="69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3,052,049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2,767,659</w:t>
            </w:r>
          </w:p>
        </w:tc>
        <w:tc>
          <w:tcPr>
            <w:tcW w:w="80" w:type="dxa"/>
            <w:vAlign w:val="bottom"/>
          </w:tcPr>
          <w:p>
            <w:pPr>
              <w:spacing w:after="0"/>
              <w:rPr>
                <w:sz w:val="18"/>
                <w:szCs w:val="18"/>
                <w:color w:val="auto"/>
              </w:rPr>
            </w:pPr>
          </w:p>
        </w:tc>
      </w:tr>
      <w:tr>
        <w:trPr>
          <w:trHeight w:val="249"/>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1,838,906</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2,217,864</w:t>
            </w:r>
          </w:p>
        </w:tc>
        <w:tc>
          <w:tcPr>
            <w:tcW w:w="80" w:type="dxa"/>
            <w:vAlign w:val="bottom"/>
            <w:shd w:val="clear" w:color="auto" w:fill="CCEEFF"/>
          </w:tcPr>
          <w:p>
            <w:pPr>
              <w:spacing w:after="0"/>
              <w:rPr>
                <w:sz w:val="21"/>
                <w:szCs w:val="21"/>
                <w:color w:val="auto"/>
              </w:rPr>
            </w:pPr>
          </w:p>
        </w:tc>
      </w:tr>
      <w:tr>
        <w:trPr>
          <w:trHeight w:val="210"/>
        </w:trPr>
        <w:tc>
          <w:tcPr>
            <w:tcW w:w="6980" w:type="dxa"/>
            <w:vAlign w:val="bottom"/>
            <w:tcBorders>
              <w:top w:val="single" w:sz="8" w:color="CCEEFF"/>
              <w:bottom w:val="single" w:sz="8" w:color="CCEEFF"/>
            </w:tcBorders>
          </w:tcPr>
          <w:p>
            <w:pPr>
              <w:ind w:left="400"/>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4,890,995</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4,985,523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(4,765,955)</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(4,860,523)</w:t>
            </w:r>
          </w:p>
        </w:tc>
      </w:tr>
      <w:tr>
        <w:trPr>
          <w:trHeight w:val="216"/>
        </w:trPr>
        <w:tc>
          <w:tcPr>
            <w:tcW w:w="69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gain from change in valuation of earn-out milestone liability</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(41,274)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3,130,000</w:t>
            </w:r>
          </w:p>
        </w:tc>
        <w:tc>
          <w:tcPr>
            <w:tcW w:w="80" w:type="dxa"/>
            <w:vAlign w:val="bottom"/>
            <w:shd w:val="clear" w:color="auto" w:fill="CCEEFF"/>
          </w:tcPr>
          <w:p>
            <w:pPr>
              <w:spacing w:after="0"/>
              <w:rPr>
                <w:sz w:val="18"/>
                <w:szCs w:val="18"/>
                <w:color w:val="auto"/>
              </w:rPr>
            </w:pPr>
          </w:p>
        </w:tc>
      </w:tr>
      <w:tr>
        <w:trPr>
          <w:trHeight w:val="202"/>
        </w:trPr>
        <w:tc>
          <w:tcPr>
            <w:tcW w:w="6980" w:type="dxa"/>
            <w:vAlign w:val="bottom"/>
          </w:tcPr>
          <w:p>
            <w:pPr>
              <w:ind w:left="200"/>
              <w:spacing w:after="0" w:line="201" w:lineRule="exact"/>
              <w:rPr>
                <w:sz w:val="20"/>
                <w:szCs w:val="20"/>
                <w:color w:val="auto"/>
              </w:rPr>
            </w:pPr>
            <w:r>
              <w:rPr>
                <w:rFonts w:ascii="Arial" w:cs="Arial" w:eastAsia="Arial" w:hAnsi="Arial"/>
                <w:sz w:val="18"/>
                <w:szCs w:val="18"/>
                <w:color w:val="auto"/>
                <w:w w:val="98"/>
              </w:rPr>
              <w:t>Fair value of warrants issued in connection with amendment to modify GEN-1 earn-out</w:t>
            </w: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980" w:type="dxa"/>
            <w:vAlign w:val="bottom"/>
          </w:tcPr>
          <w:p>
            <w:pPr>
              <w:ind w:left="200"/>
              <w:spacing w:after="0"/>
              <w:rPr>
                <w:sz w:val="20"/>
                <w:szCs w:val="20"/>
                <w:color w:val="auto"/>
              </w:rPr>
            </w:pPr>
            <w:r>
              <w:rPr>
                <w:rFonts w:ascii="Arial" w:cs="Arial" w:eastAsia="Arial" w:hAnsi="Arial"/>
                <w:sz w:val="18"/>
                <w:szCs w:val="18"/>
                <w:color w:val="auto"/>
              </w:rPr>
              <w:t>milestone payments</w:t>
            </w: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(400,000)</w:t>
            </w: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88,309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113,791</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(339,365)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(350,747)</w:t>
            </w:r>
          </w:p>
        </w:tc>
      </w:tr>
      <w:tr>
        <w:trPr>
          <w:trHeight w:val="250"/>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1,407</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1"/>
                <w:szCs w:val="21"/>
                <w:color w:val="auto"/>
              </w:rPr>
            </w:pPr>
          </w:p>
        </w:tc>
      </w:tr>
      <w:tr>
        <w:trPr>
          <w:trHeight w:val="210"/>
        </w:trPr>
        <w:tc>
          <w:tcPr>
            <w:tcW w:w="6980" w:type="dxa"/>
            <w:vAlign w:val="bottom"/>
            <w:tcBorders>
              <w:top w:val="single" w:sz="8" w:color="CCEEFF"/>
              <w:bottom w:val="single" w:sz="8" w:color="CCEEFF"/>
            </w:tcBorders>
          </w:tcPr>
          <w:p>
            <w:pPr>
              <w:ind w:left="400"/>
              <w:spacing w:after="0" w:line="203" w:lineRule="exact"/>
              <w:rPr>
                <w:sz w:val="20"/>
                <w:szCs w:val="20"/>
                <w:color w:val="auto"/>
              </w:rPr>
            </w:pPr>
            <w:r>
              <w:rPr>
                <w:rFonts w:ascii="Arial" w:cs="Arial" w:eastAsia="Arial" w:hAnsi="Arial"/>
                <w:sz w:val="18"/>
                <w:szCs w:val="18"/>
                <w:b w:val="1"/>
                <w:bCs w:val="1"/>
                <w:color w:val="auto"/>
              </w:rPr>
              <w:t>Total other income (expense), net</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(290,923</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2,493,071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69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6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(5,056,878)</w:t>
            </w:r>
          </w:p>
        </w:tc>
        <w:tc>
          <w:tcPr>
            <w:tcW w:w="8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(2,367,452)</w:t>
            </w:r>
          </w:p>
        </w:tc>
      </w:tr>
      <w:tr>
        <w:trPr>
          <w:trHeight w:val="197"/>
        </w:trPr>
        <w:tc>
          <w:tcPr>
            <w:tcW w:w="69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Net loss per common share</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Basic and diluted</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(0.20)</w:t>
            </w: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(0.12)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6980" w:type="dxa"/>
            <w:vAlign w:val="bottom"/>
          </w:tcPr>
          <w:p>
            <w:pPr>
              <w:ind w:left="200"/>
              <w:spacing w:after="0"/>
              <w:rPr>
                <w:sz w:val="20"/>
                <w:szCs w:val="20"/>
                <w:color w:val="auto"/>
              </w:rPr>
            </w:pPr>
            <w:r>
              <w:rPr>
                <w:rFonts w:ascii="Arial" w:cs="Arial" w:eastAsia="Arial" w:hAnsi="Arial"/>
                <w:sz w:val="18"/>
                <w:szCs w:val="18"/>
                <w:b w:val="1"/>
                <w:bCs w:val="1"/>
                <w:color w:val="auto"/>
              </w:rPr>
              <w:t>Basic and diluted</w:t>
            </w:r>
          </w:p>
        </w:tc>
        <w:tc>
          <w:tcPr>
            <w:tcW w:w="440" w:type="dxa"/>
            <w:vAlign w:val="bottom"/>
          </w:tcPr>
          <w:p>
            <w:pPr>
              <w:spacing w:after="0"/>
              <w:rPr>
                <w:sz w:val="21"/>
                <w:szCs w:val="21"/>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25,804,349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19,104,785</w:t>
            </w:r>
          </w:p>
        </w:tc>
        <w:tc>
          <w:tcPr>
            <w:tcW w:w="80" w:type="dxa"/>
            <w:vAlign w:val="bottom"/>
          </w:tcPr>
          <w:p>
            <w:pPr>
              <w:spacing w:after="0"/>
              <w:rPr>
                <w:sz w:val="21"/>
                <w:szCs w:val="21"/>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0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w w:val="99"/>
              </w:rPr>
              <w:t>STATEMENTS OF COMPREHENSIVE LOSS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Three Months Ended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8"/>
                <w:szCs w:val="18"/>
                <w:b w:val="1"/>
                <w:bCs w:val="1"/>
                <w:color w:val="auto"/>
              </w:rPr>
              <w:t>March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gain</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60" w:type="dxa"/>
            <w:vAlign w:val="bottom"/>
          </w:tcPr>
          <w:p>
            <w:pPr>
              <w:spacing w:after="0" w:line="201" w:lineRule="exact"/>
              <w:rPr>
                <w:sz w:val="20"/>
                <w:szCs w:val="20"/>
                <w:color w:val="auto"/>
              </w:rPr>
            </w:pPr>
            <w:r>
              <w:rPr>
                <w:rFonts w:ascii="Arial" w:cs="Arial" w:eastAsia="Arial" w:hAnsi="Arial"/>
                <w:sz w:val="18"/>
                <w:szCs w:val="18"/>
                <w:color w:val="auto"/>
                <w:w w:val="96"/>
              </w:rPr>
              <w:t>Reclassification of realized gain on investment securities recognized in investment income,</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net</w:t>
            </w:r>
          </w:p>
        </w:tc>
        <w:tc>
          <w:tcPr>
            <w:tcW w:w="6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(43,232)</w:t>
            </w:r>
          </w:p>
        </w:tc>
        <w:tc>
          <w:tcPr>
            <w:tcW w:w="8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(9,381)</w:t>
            </w:r>
          </w:p>
        </w:tc>
      </w:tr>
      <w:tr>
        <w:trPr>
          <w:trHeight w:val="237"/>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investment securities</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4,267</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66,333</w:t>
            </w:r>
          </w:p>
        </w:tc>
      </w:tr>
      <w:tr>
        <w:trPr>
          <w:trHeight w:val="216"/>
        </w:trPr>
        <w:tc>
          <w:tcPr>
            <w:tcW w:w="6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 gain, net, on available for sale securities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(38,965)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56,952</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(5,056,878)</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(2,367,452)</w:t>
            </w:r>
          </w:p>
        </w:tc>
      </w:tr>
      <w:tr>
        <w:trPr>
          <w:trHeight w:val="216"/>
        </w:trPr>
        <w:tc>
          <w:tcPr>
            <w:tcW w:w="6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(5,095,843)</w:t>
            </w:r>
          </w:p>
        </w:tc>
        <w:tc>
          <w:tcPr>
            <w:tcW w:w="8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(2,310,500)</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Arial" w:cs="Arial" w:eastAsia="Arial" w:hAnsi="Arial"/>
                <w:sz w:val="18"/>
                <w:szCs w:val="18"/>
                <w:color w:val="auto"/>
                <w:w w:val="79"/>
              </w:rPr>
              <w:t>5</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120" w:type="dxa"/>
            <w:vAlign w:val="bottom"/>
            <w:gridSpan w:val="3"/>
          </w:tcPr>
          <w:p>
            <w:pPr>
              <w:jc w:val="center"/>
              <w:ind w:left="3050"/>
              <w:spacing w:after="0"/>
              <w:rPr>
                <w:sz w:val="20"/>
                <w:szCs w:val="20"/>
                <w:color w:val="auto"/>
              </w:rPr>
            </w:pPr>
            <w:r>
              <w:rPr>
                <w:rFonts w:ascii="Arial" w:cs="Arial" w:eastAsia="Arial" w:hAnsi="Arial"/>
                <w:sz w:val="18"/>
                <w:szCs w:val="18"/>
                <w:b w:val="1"/>
                <w:bCs w:val="1"/>
                <w:color w:val="auto"/>
                <w:w w:val="98"/>
              </w:rPr>
              <w:t>STATEMENTS OF CASH FLOWS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(5,056,878)</w:t>
            </w: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(2,367,452)</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188,329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188,806</w:t>
            </w:r>
          </w:p>
        </w:tc>
      </w:tr>
      <w:tr>
        <w:trPr>
          <w:trHeight w:val="216"/>
        </w:trPr>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earn-out milestone liability</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41,274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(3,130,000)</w:t>
            </w:r>
          </w:p>
        </w:tc>
      </w:tr>
      <w:tr>
        <w:trPr>
          <w:trHeight w:val="202"/>
        </w:trPr>
        <w:tc>
          <w:tcPr>
            <w:tcW w:w="6960" w:type="dxa"/>
            <w:vAlign w:val="bottom"/>
          </w:tcPr>
          <w:p>
            <w:pPr>
              <w:ind w:left="200"/>
              <w:spacing w:after="0" w:line="201" w:lineRule="exact"/>
              <w:rPr>
                <w:sz w:val="20"/>
                <w:szCs w:val="20"/>
                <w:color w:val="auto"/>
              </w:rPr>
            </w:pPr>
            <w:r>
              <w:rPr>
                <w:rFonts w:ascii="Arial" w:cs="Arial" w:eastAsia="Arial" w:hAnsi="Arial"/>
                <w:sz w:val="18"/>
                <w:szCs w:val="18"/>
                <w:color w:val="auto"/>
                <w:w w:val="97"/>
              </w:rPr>
              <w:t>Fair value of warrants issued in connection with amendment to modify the GEN-1 earn-</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60" w:type="dxa"/>
            <w:vAlign w:val="bottom"/>
          </w:tcPr>
          <w:p>
            <w:pPr>
              <w:ind w:left="200"/>
              <w:spacing w:after="0"/>
              <w:rPr>
                <w:sz w:val="20"/>
                <w:szCs w:val="20"/>
                <w:color w:val="auto"/>
              </w:rPr>
            </w:pPr>
            <w:r>
              <w:rPr>
                <w:rFonts w:ascii="Arial" w:cs="Arial" w:eastAsia="Arial" w:hAnsi="Arial"/>
                <w:sz w:val="18"/>
                <w:szCs w:val="18"/>
                <w:color w:val="auto"/>
              </w:rPr>
              <w:t>out milestone payments</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400,000</w:t>
            </w:r>
          </w:p>
        </w:tc>
      </w:tr>
      <w:tr>
        <w:trPr>
          <w:trHeight w:val="216"/>
        </w:trPr>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Recognition of deferred revenue</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6960" w:type="dxa"/>
            <w:vAlign w:val="bottom"/>
          </w:tcPr>
          <w:p>
            <w:pPr>
              <w:ind w:left="200"/>
              <w:spacing w:after="0"/>
              <w:rPr>
                <w:sz w:val="20"/>
                <w:szCs w:val="20"/>
                <w:color w:val="auto"/>
              </w:rPr>
            </w:pPr>
            <w:r>
              <w:rPr>
                <w:rFonts w:ascii="Arial" w:cs="Arial" w:eastAsia="Arial" w:hAnsi="Arial"/>
                <w:sz w:val="18"/>
                <w:szCs w:val="18"/>
                <w:color w:val="auto"/>
              </w:rPr>
              <w:t>Stock-based compensation costs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451,965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691,145</w:t>
            </w:r>
          </w:p>
        </w:tc>
      </w:tr>
      <w:tr>
        <w:trPr>
          <w:trHeight w:val="216"/>
        </w:trPr>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asset</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4"/>
              </w:rPr>
              <w:t>1,819,324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ind w:left="160"/>
              <w:spacing w:after="0"/>
              <w:rPr>
                <w:sz w:val="20"/>
                <w:szCs w:val="20"/>
                <w:color w:val="auto"/>
              </w:rPr>
            </w:pPr>
            <w:r>
              <w:rPr>
                <w:rFonts w:ascii="Arial" w:cs="Arial" w:eastAsia="Arial" w:hAnsi="Arial"/>
                <w:sz w:val="18"/>
                <w:szCs w:val="18"/>
                <w:color w:val="auto"/>
                <w:w w:val="94"/>
              </w:rPr>
              <w:t>Amortization of deferred finance charges and debt discount associated with notes payable</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96,066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97,458</w:t>
            </w:r>
          </w:p>
        </w:tc>
      </w:tr>
      <w:tr>
        <w:trPr>
          <w:trHeight w:val="216"/>
        </w:trPr>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changes in:</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400"/>
              <w:spacing w:after="0"/>
              <w:rPr>
                <w:sz w:val="20"/>
                <w:szCs w:val="20"/>
                <w:color w:val="auto"/>
              </w:rPr>
            </w:pPr>
            <w:r>
              <w:rPr>
                <w:rFonts w:ascii="Arial" w:cs="Arial" w:eastAsia="Arial" w:hAnsi="Arial"/>
                <w:sz w:val="18"/>
                <w:szCs w:val="18"/>
                <w:color w:val="auto"/>
              </w:rPr>
              <w:t>Accrued interest on investment securities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(9,761)</w:t>
            </w:r>
          </w:p>
        </w:tc>
      </w:tr>
      <w:tr>
        <w:trPr>
          <w:trHeight w:val="216"/>
        </w:trPr>
        <w:tc>
          <w:tcPr>
            <w:tcW w:w="6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Receivable on sale of net operating losses</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(1,819,324)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ind w:left="400"/>
              <w:spacing w:after="0"/>
              <w:rPr>
                <w:sz w:val="20"/>
                <w:szCs w:val="20"/>
                <w:color w:val="auto"/>
              </w:rPr>
            </w:pPr>
            <w:r>
              <w:rPr>
                <w:rFonts w:ascii="Arial" w:cs="Arial" w:eastAsia="Arial" w:hAnsi="Arial"/>
                <w:sz w:val="18"/>
                <w:szCs w:val="18"/>
                <w:color w:val="auto"/>
              </w:rPr>
              <w:t>Advances, deposits and other current assets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(64,527)</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(645,864)</w:t>
            </w:r>
          </w:p>
        </w:tc>
      </w:tr>
      <w:tr>
        <w:trPr>
          <w:trHeight w:val="249"/>
        </w:trPr>
        <w:tc>
          <w:tcPr>
            <w:tcW w:w="6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(504,952)</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(635,190)</w:t>
            </w:r>
          </w:p>
        </w:tc>
      </w:tr>
      <w:tr>
        <w:trPr>
          <w:trHeight w:val="210"/>
        </w:trPr>
        <w:tc>
          <w:tcPr>
            <w:tcW w:w="6960" w:type="dxa"/>
            <w:vAlign w:val="bottom"/>
            <w:tcBorders>
              <w:top w:val="single" w:sz="8" w:color="CCEEFF"/>
              <w:bottom w:val="single" w:sz="8" w:color="CCEEFF"/>
            </w:tcBorders>
          </w:tcPr>
          <w:p>
            <w:pPr>
              <w:ind w:left="60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88"/>
              </w:rPr>
              <w:t>(4,975,067</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(5,535,858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8"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Purchases of investment securities</w:t>
      </w:r>
    </w:p>
    <w:p>
      <w:pPr>
        <w:spacing w:after="0" w:line="9" w:lineRule="exact"/>
        <w:rPr>
          <w:sz w:val="20"/>
          <w:szCs w:val="20"/>
          <w:color w:val="auto"/>
        </w:rPr>
      </w:pPr>
    </w:p>
    <w:p>
      <w:pPr>
        <w:ind w:left="200" w:right="3120"/>
        <w:spacing w:after="0" w:line="255" w:lineRule="auto"/>
        <w:rPr>
          <w:sz w:val="20"/>
          <w:szCs w:val="20"/>
          <w:color w:val="auto"/>
        </w:rPr>
      </w:pPr>
      <w:r>
        <w:rPr>
          <w:rFonts w:ascii="Arial" w:cs="Arial" w:eastAsia="Arial" w:hAnsi="Arial"/>
          <w:sz w:val="18"/>
          <w:szCs w:val="18"/>
          <w:color w:val="auto"/>
        </w:rPr>
        <w:t>Proceeds from sale and maturity of investment securities 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Proceeds from sale of common stock equity, net of issuance costs</w:t>
      </w:r>
    </w:p>
    <w:p>
      <w:pPr>
        <w:spacing w:after="0" w:line="4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2120" w:val="left"/>
        </w:tabs>
        <w:rPr>
          <w:sz w:val="20"/>
          <w:szCs w:val="20"/>
          <w:color w:val="auto"/>
        </w:rPr>
      </w:pPr>
      <w:r>
        <w:rPr>
          <w:rFonts w:ascii="Arial" w:cs="Arial" w:eastAsia="Arial" w:hAnsi="Arial"/>
          <w:sz w:val="16"/>
          <w:szCs w:val="16"/>
          <w:color w:val="auto"/>
        </w:rPr>
        <w:t>(9,940,534)</w:t>
      </w:r>
      <w:r>
        <w:rPr>
          <w:sz w:val="20"/>
          <w:szCs w:val="20"/>
          <w:color w:val="auto"/>
        </w:rPr>
        <w:tab/>
      </w:r>
      <w:r>
        <w:rPr>
          <w:rFonts w:ascii="Arial" w:cs="Arial" w:eastAsia="Arial" w:hAnsi="Arial"/>
          <w:sz w:val="16"/>
          <w:szCs w:val="16"/>
          <w:color w:val="auto"/>
        </w:rPr>
        <w:t>(11,251,818)</w:t>
      </w:r>
    </w:p>
    <w:p>
      <w:pPr>
        <w:spacing w:after="0" w:line="46" w:lineRule="exact"/>
        <w:rPr>
          <w:sz w:val="20"/>
          <w:szCs w:val="20"/>
          <w:color w:val="auto"/>
        </w:rPr>
      </w:pPr>
    </w:p>
    <w:p>
      <w:pPr>
        <w:ind w:left="60"/>
        <w:spacing w:after="0"/>
        <w:tabs>
          <w:tab w:leader="none" w:pos="2280" w:val="left"/>
        </w:tabs>
        <w:rPr>
          <w:sz w:val="20"/>
          <w:szCs w:val="20"/>
          <w:color w:val="auto"/>
        </w:rPr>
      </w:pPr>
      <w:r>
        <w:rPr>
          <w:rFonts w:ascii="Arial" w:cs="Arial" w:eastAsia="Arial" w:hAnsi="Arial"/>
          <w:sz w:val="17"/>
          <w:szCs w:val="17"/>
          <w:color w:val="auto"/>
        </w:rPr>
        <w:t>8,000,000</w:t>
      </w:r>
      <w:r>
        <w:rPr>
          <w:sz w:val="20"/>
          <w:szCs w:val="20"/>
          <w:color w:val="auto"/>
        </w:rPr>
        <w:tab/>
      </w:r>
      <w:r>
        <w:rPr>
          <w:rFonts w:ascii="Arial" w:cs="Arial" w:eastAsia="Arial" w:hAnsi="Arial"/>
          <w:sz w:val="17"/>
          <w:szCs w:val="17"/>
          <w:color w:val="auto"/>
        </w:rPr>
        <w:t>5,400,000</w:t>
      </w:r>
    </w:p>
    <w:p>
      <w:pPr>
        <w:spacing w:after="0" w:line="21" w:lineRule="exact"/>
        <w:rPr>
          <w:sz w:val="20"/>
          <w:szCs w:val="20"/>
          <w:color w:val="auto"/>
        </w:rPr>
      </w:pPr>
    </w:p>
    <w:p>
      <w:pPr>
        <w:jc w:val="right"/>
        <w:ind w:right="40"/>
        <w:spacing w:after="0"/>
        <w:tabs>
          <w:tab w:leader="none" w:pos="700" w:val="left"/>
        </w:tabs>
        <w:rPr>
          <w:sz w:val="20"/>
          <w:szCs w:val="20"/>
          <w:color w:val="auto"/>
        </w:rPr>
      </w:pPr>
      <w:r>
        <w:rPr>
          <w:rFonts w:ascii="Arial" w:cs="Arial" w:eastAsia="Arial" w:hAnsi="Arial"/>
          <w:sz w:val="18"/>
          <w:szCs w:val="18"/>
          <w:color w:val="auto"/>
        </w:rPr>
        <w:t>(8,235)</w:t>
      </w:r>
      <w:r>
        <w:rPr>
          <w:sz w:val="20"/>
          <w:szCs w:val="20"/>
          <w:color w:val="auto"/>
        </w:rPr>
        <w:tab/>
      </w:r>
      <w:r>
        <w:rPr>
          <w:rFonts w:ascii="Arial" w:cs="Arial" w:eastAsia="Arial" w:hAnsi="Arial"/>
          <w:sz w:val="16"/>
          <w:szCs w:val="16"/>
          <w:color w:val="auto"/>
        </w:rPr>
        <w:t>(145,162)</w:t>
      </w:r>
    </w:p>
    <w:p>
      <w:pPr>
        <w:spacing w:after="0" w:line="23"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b w:val="1"/>
          <w:bCs w:val="1"/>
          <w:color w:val="auto"/>
        </w:rPr>
        <w:t>(1,948,769)</w:t>
      </w:r>
      <w:r>
        <w:rPr>
          <w:sz w:val="20"/>
          <w:szCs w:val="20"/>
          <w:color w:val="auto"/>
        </w:rPr>
        <w:tab/>
      </w:r>
      <w:r>
        <w:rPr>
          <w:rFonts w:ascii="Arial" w:cs="Arial" w:eastAsia="Arial" w:hAnsi="Arial"/>
          <w:sz w:val="16"/>
          <w:szCs w:val="16"/>
          <w:b w:val="1"/>
          <w:bCs w:val="1"/>
          <w:color w:val="auto"/>
        </w:rPr>
        <w:t>(5,996,980)</w:t>
      </w:r>
    </w:p>
    <w:p>
      <w:pPr>
        <w:spacing w:after="0" w:line="200" w:lineRule="exact"/>
        <w:rPr>
          <w:sz w:val="20"/>
          <w:szCs w:val="20"/>
          <w:color w:val="auto"/>
        </w:rPr>
      </w:pPr>
    </w:p>
    <w:p>
      <w:pPr>
        <w:spacing w:after="0" w:line="294" w:lineRule="exact"/>
        <w:rPr>
          <w:sz w:val="20"/>
          <w:szCs w:val="20"/>
          <w:color w:val="auto"/>
        </w:rPr>
      </w:pPr>
    </w:p>
    <w:p>
      <w:pPr>
        <w:ind w:left="60"/>
        <w:spacing w:after="0"/>
        <w:tabs>
          <w:tab w:leader="none" w:pos="2280" w:val="left"/>
        </w:tabs>
        <w:rPr>
          <w:sz w:val="20"/>
          <w:szCs w:val="20"/>
          <w:color w:val="auto"/>
        </w:rPr>
      </w:pPr>
      <w:r>
        <w:rPr>
          <w:rFonts w:ascii="Arial" w:cs="Arial" w:eastAsia="Arial" w:hAnsi="Arial"/>
          <w:sz w:val="17"/>
          <w:szCs w:val="17"/>
          <w:color w:val="auto"/>
        </w:rPr>
        <w:t>5,794,747</w:t>
      </w:r>
      <w:r>
        <w:rPr>
          <w:sz w:val="20"/>
          <w:szCs w:val="20"/>
          <w:color w:val="auto"/>
        </w:rPr>
        <w:tab/>
      </w:r>
      <w:r>
        <w:rPr>
          <w:rFonts w:ascii="Arial" w:cs="Arial" w:eastAsia="Arial" w:hAnsi="Arial"/>
          <w:sz w:val="17"/>
          <w:szCs w:val="17"/>
          <w:color w:val="auto"/>
        </w:rPr>
        <w:t>1,754,885</w:t>
      </w:r>
    </w:p>
    <w:p>
      <w:pPr>
        <w:spacing w:after="0" w:line="44" w:lineRule="exact"/>
        <w:rPr>
          <w:sz w:val="20"/>
          <w:szCs w:val="20"/>
          <w:color w:val="auto"/>
        </w:rPr>
      </w:pPr>
    </w:p>
    <w:p>
      <w:pPr>
        <w:ind w:left="60"/>
        <w:spacing w:after="0"/>
        <w:tabs>
          <w:tab w:leader="none" w:pos="2280" w:val="left"/>
        </w:tabs>
        <w:rPr>
          <w:sz w:val="20"/>
          <w:szCs w:val="20"/>
          <w:color w:val="auto"/>
        </w:rPr>
      </w:pPr>
      <w:r>
        <w:rPr>
          <w:rFonts w:ascii="Arial" w:cs="Arial" w:eastAsia="Arial" w:hAnsi="Arial"/>
          <w:sz w:val="17"/>
          <w:szCs w:val="17"/>
          <w:b w:val="1"/>
          <w:bCs w:val="1"/>
          <w:color w:val="auto"/>
        </w:rPr>
        <w:t>5,794,747</w:t>
      </w:r>
      <w:r>
        <w:rPr>
          <w:sz w:val="20"/>
          <w:szCs w:val="20"/>
          <w:color w:val="auto"/>
        </w:rPr>
        <w:tab/>
      </w:r>
      <w:r>
        <w:rPr>
          <w:rFonts w:ascii="Arial" w:cs="Arial" w:eastAsia="Arial" w:hAnsi="Arial"/>
          <w:sz w:val="17"/>
          <w:szCs w:val="17"/>
          <w:b w:val="1"/>
          <w:bCs w:val="1"/>
          <w:color w:val="auto"/>
        </w:rPr>
        <w:t>1,754,885</w:t>
      </w:r>
    </w:p>
    <w:p>
      <w:pPr>
        <w:spacing w:after="0" w:line="39" w:lineRule="exact"/>
        <w:rPr>
          <w:sz w:val="20"/>
          <w:szCs w:val="20"/>
          <w:color w:val="auto"/>
        </w:rPr>
      </w:pPr>
    </w:p>
    <w:p>
      <w:pPr>
        <w:sectPr>
          <w:pgSz w:w="11900" w:h="16838" w:orient="portrait"/>
          <w:cols w:equalWidth="0" w:num="2">
            <w:col w:w="7400" w:space="720"/>
            <w:col w:w="312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9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6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(1,129,089)</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(9,777,953)</w:t>
            </w:r>
          </w:p>
        </w:tc>
      </w:tr>
      <w:tr>
        <w:trPr>
          <w:trHeight w:val="250"/>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6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6,875,273</w:t>
            </w: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13,353,543</w:t>
            </w:r>
          </w:p>
        </w:tc>
      </w:tr>
      <w:tr>
        <w:trPr>
          <w:trHeight w:val="216"/>
        </w:trPr>
        <w:tc>
          <w:tcPr>
            <w:tcW w:w="6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5,746,184</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3,575,590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2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6"/>
              </w:rPr>
              <w:t>STATEMENTS OF CASH FLOWS (continued)</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96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6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243,299</w:t>
            </w:r>
          </w:p>
        </w:tc>
        <w:tc>
          <w:tcPr>
            <w:tcW w:w="8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253,289</w:t>
            </w:r>
          </w:p>
        </w:tc>
      </w:tr>
      <w:tr>
        <w:trPr>
          <w:trHeight w:val="197"/>
        </w:trPr>
        <w:tc>
          <w:tcPr>
            <w:tcW w:w="6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Cash paid for amounts included in measurement of lease liabilities: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lease payments</w:t>
            </w: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130,631</w:t>
            </w: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financing and investing activities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60" w:type="dxa"/>
            <w:vAlign w:val="bottom"/>
          </w:tcPr>
          <w:p>
            <w:pPr>
              <w:ind w:left="180"/>
              <w:spacing w:after="0" w:line="201" w:lineRule="exact"/>
              <w:rPr>
                <w:sz w:val="20"/>
                <w:szCs w:val="20"/>
                <w:color w:val="auto"/>
              </w:rPr>
            </w:pPr>
            <w:r>
              <w:rPr>
                <w:rFonts w:ascii="Arial" w:cs="Arial" w:eastAsia="Arial" w:hAnsi="Arial"/>
                <w:sz w:val="18"/>
                <w:szCs w:val="18"/>
                <w:color w:val="auto"/>
                <w:w w:val="97"/>
              </w:rPr>
              <w:t>Fair value of warrants issued in connection with amendment to modify the GEN-1 earn-</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7"/>
        </w:trPr>
        <w:tc>
          <w:tcPr>
            <w:tcW w:w="6960" w:type="dxa"/>
            <w:vAlign w:val="bottom"/>
          </w:tcPr>
          <w:p>
            <w:pPr>
              <w:ind w:left="180"/>
              <w:spacing w:after="0"/>
              <w:rPr>
                <w:sz w:val="20"/>
                <w:szCs w:val="20"/>
                <w:color w:val="auto"/>
              </w:rPr>
            </w:pPr>
            <w:r>
              <w:rPr>
                <w:rFonts w:ascii="Arial" w:cs="Arial" w:eastAsia="Arial" w:hAnsi="Arial"/>
                <w:sz w:val="18"/>
                <w:szCs w:val="18"/>
                <w:color w:val="auto"/>
              </w:rPr>
              <w:t>out milestone payments</w:t>
            </w:r>
          </w:p>
        </w:tc>
        <w:tc>
          <w:tcPr>
            <w:tcW w:w="6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r>
      <w:tr>
        <w:trPr>
          <w:trHeight w:val="196"/>
        </w:trPr>
        <w:tc>
          <w:tcPr>
            <w:tcW w:w="6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Right of use assets obtained in exchange for lease liabilities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 of use assets</w:t>
            </w: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1,797,561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Stock issued in lieu of cash bonuses</w:t>
            </w: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498,632</w:t>
            </w: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(gains) losses, net, on investment securities</w:t>
            </w: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(38,965)</w:t>
            </w: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56,952</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Arial" w:cs="Arial" w:eastAsia="Arial" w:hAnsi="Arial"/>
                <w:sz w:val="18"/>
                <w:szCs w:val="18"/>
                <w:color w:val="auto"/>
                <w:w w:val="79"/>
              </w:rPr>
              <w:t>7</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spacing w:after="0"/>
              <w:rPr>
                <w:sz w:val="14"/>
                <w:szCs w:val="14"/>
                <w:color w:val="auto"/>
              </w:rPr>
            </w:pPr>
          </w:p>
        </w:tc>
        <w:tc>
          <w:tcPr>
            <w:tcW w:w="1860" w:type="dxa"/>
            <w:vAlign w:val="bottom"/>
            <w:gridSpan w:val="6"/>
            <w:vMerge w:val="restart"/>
          </w:tcPr>
          <w:p>
            <w:pPr>
              <w:jc w:val="center"/>
              <w:ind w:right="100"/>
              <w:spacing w:after="0"/>
              <w:rPr>
                <w:sz w:val="20"/>
                <w:szCs w:val="20"/>
                <w:color w:val="auto"/>
              </w:rPr>
            </w:pPr>
            <w:r>
              <w:rPr>
                <w:rFonts w:ascii="Arial" w:cs="Arial" w:eastAsia="Arial" w:hAnsi="Arial"/>
                <w:sz w:val="15"/>
                <w:szCs w:val="15"/>
                <w:b w:val="1"/>
                <w:bCs w:val="1"/>
                <w:color w:val="auto"/>
                <w:w w:val="90"/>
              </w:rPr>
              <w:t>Common Stock</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1"/>
              </w:rPr>
              <w:t>Accumulated</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186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2" w:lineRule="exact"/>
              <w:rPr>
                <w:sz w:val="20"/>
                <w:szCs w:val="20"/>
                <w:color w:val="auto"/>
              </w:rPr>
            </w:pPr>
            <w:r>
              <w:rPr>
                <w:rFonts w:ascii="Arial" w:cs="Arial" w:eastAsia="Arial" w:hAnsi="Arial"/>
                <w:sz w:val="15"/>
                <w:szCs w:val="15"/>
                <w:b w:val="1"/>
                <w:bCs w:val="1"/>
                <w:color w:val="auto"/>
                <w:w w:val="95"/>
              </w:rPr>
              <w:t>Additional</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60"/>
              <w:spacing w:after="0" w:line="152" w:lineRule="exact"/>
              <w:rPr>
                <w:sz w:val="20"/>
                <w:szCs w:val="20"/>
                <w:color w:val="auto"/>
              </w:rPr>
            </w:pPr>
            <w:r>
              <w:rPr>
                <w:rFonts w:ascii="Arial" w:cs="Arial" w:eastAsia="Arial" w:hAnsi="Arial"/>
                <w:sz w:val="15"/>
                <w:szCs w:val="15"/>
                <w:b w:val="1"/>
                <w:bCs w:val="1"/>
                <w:color w:val="auto"/>
                <w:w w:val="94"/>
              </w:rPr>
              <w:t>Other</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1860" w:type="dxa"/>
            <w:vAlign w:val="bottom"/>
            <w:gridSpan w:val="6"/>
          </w:tcPr>
          <w:p>
            <w:pPr>
              <w:jc w:val="center"/>
              <w:ind w:right="120"/>
              <w:spacing w:after="0"/>
              <w:rPr>
                <w:sz w:val="20"/>
                <w:szCs w:val="20"/>
                <w:color w:val="auto"/>
              </w:rPr>
            </w:pPr>
            <w:r>
              <w:rPr>
                <w:rFonts w:ascii="Arial" w:cs="Arial" w:eastAsia="Arial" w:hAnsi="Arial"/>
                <w:sz w:val="15"/>
                <w:szCs w:val="15"/>
                <w:b w:val="1"/>
                <w:bCs w:val="1"/>
                <w:color w:val="auto"/>
                <w:w w:val="92"/>
              </w:rPr>
              <w:t>Outstanding</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Paid in</w:t>
            </w:r>
          </w:p>
        </w:tc>
        <w:tc>
          <w:tcPr>
            <w:tcW w:w="1860" w:type="dxa"/>
            <w:vAlign w:val="bottom"/>
            <w:gridSpan w:val="6"/>
          </w:tcPr>
          <w:p>
            <w:pPr>
              <w:jc w:val="right"/>
              <w:ind w:right="500"/>
              <w:spacing w:after="0"/>
              <w:rPr>
                <w:sz w:val="20"/>
                <w:szCs w:val="20"/>
                <w:color w:val="auto"/>
              </w:rPr>
            </w:pPr>
            <w:r>
              <w:rPr>
                <w:rFonts w:ascii="Arial" w:cs="Arial" w:eastAsia="Arial" w:hAnsi="Arial"/>
                <w:sz w:val="15"/>
                <w:szCs w:val="15"/>
                <w:b w:val="1"/>
                <w:bCs w:val="1"/>
                <w:color w:val="auto"/>
              </w:rPr>
              <w:t>Treasury Stock</w:t>
            </w:r>
          </w:p>
        </w:tc>
        <w:tc>
          <w:tcPr>
            <w:tcW w:w="1300" w:type="dxa"/>
            <w:vAlign w:val="bottom"/>
            <w:gridSpan w:val="4"/>
          </w:tcPr>
          <w:p>
            <w:pPr>
              <w:jc w:val="center"/>
              <w:ind w:right="120"/>
              <w:spacing w:after="0"/>
              <w:rPr>
                <w:sz w:val="20"/>
                <w:szCs w:val="20"/>
                <w:color w:val="auto"/>
              </w:rPr>
            </w:pPr>
            <w:r>
              <w:rPr>
                <w:rFonts w:ascii="Arial" w:cs="Arial" w:eastAsia="Arial" w:hAnsi="Arial"/>
                <w:sz w:val="15"/>
                <w:szCs w:val="15"/>
                <w:b w:val="1"/>
                <w:bCs w:val="1"/>
                <w:color w:val="auto"/>
                <w:w w:val="90"/>
              </w:rPr>
              <w:t>Comprehensive</w:t>
            </w:r>
          </w:p>
        </w:tc>
        <w:tc>
          <w:tcPr>
            <w:tcW w:w="10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w w:val="93"/>
              </w:rPr>
              <w:t>Accumulated</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9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b w:val="1"/>
                <w:bCs w:val="1"/>
                <w:color w:val="auto"/>
              </w:rPr>
              <w:t>Shares</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1"/>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5"/>
              </w:rPr>
              <w:t>Capital</w:t>
            </w:r>
          </w:p>
        </w:tc>
        <w:tc>
          <w:tcPr>
            <w:tcW w:w="86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95"/>
              </w:rPr>
              <w:t>Amount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1"/>
              </w:rPr>
              <w:t>Income</w:t>
            </w:r>
          </w:p>
        </w:tc>
        <w:tc>
          <w:tcPr>
            <w:tcW w:w="108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Deficit</w:t>
            </w: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January 1, 2020</w:t>
            </w:r>
          </w:p>
        </w:tc>
        <w:tc>
          <w:tcPr>
            <w:tcW w:w="9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23,255,818</w:t>
            </w:r>
          </w:p>
        </w:tc>
        <w:tc>
          <w:tcPr>
            <w:tcW w:w="2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232,562</w:t>
            </w:r>
          </w:p>
        </w:tc>
        <w:tc>
          <w:tcPr>
            <w:tcW w:w="1200" w:type="dxa"/>
            <w:vAlign w:val="bottom"/>
            <w:gridSpan w:val="3"/>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$ 304,885,663</w:t>
            </w:r>
          </w:p>
        </w:tc>
        <w:tc>
          <w:tcPr>
            <w:tcW w:w="8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334</w:t>
            </w:r>
          </w:p>
        </w:tc>
        <w:tc>
          <w:tcPr>
            <w:tcW w:w="2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(85,188)</w:t>
            </w:r>
          </w:p>
        </w:tc>
        <w:tc>
          <w:tcPr>
            <w:tcW w:w="240" w:type="dxa"/>
            <w:vAlign w:val="bottom"/>
            <w:gridSpan w:val="2"/>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42,778</w:t>
            </w:r>
          </w:p>
        </w:tc>
        <w:tc>
          <w:tcPr>
            <w:tcW w:w="10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2"/>
              </w:rPr>
              <w:t>$ (290,516,780)</w:t>
            </w:r>
          </w:p>
        </w:tc>
        <w:tc>
          <w:tcPr>
            <w:tcW w:w="98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w w:val="98"/>
              </w:rPr>
              <w:t>$ 14,559,035</w:t>
            </w:r>
          </w:p>
        </w:tc>
        <w:tc>
          <w:tcPr>
            <w:tcW w:w="0" w:type="dxa"/>
            <w:vAlign w:val="bottom"/>
          </w:tcPr>
          <w:p>
            <w:pPr>
              <w:spacing w:after="0"/>
              <w:rPr>
                <w:sz w:val="1"/>
                <w:szCs w:val="1"/>
                <w:color w:val="auto"/>
              </w:rPr>
            </w:pPr>
          </w:p>
        </w:tc>
      </w:tr>
      <w:tr>
        <w:trPr>
          <w:trHeight w:val="162"/>
        </w:trPr>
        <w:tc>
          <w:tcPr>
            <w:tcW w:w="296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9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(5,056,878)</w:t>
            </w:r>
          </w:p>
        </w:tc>
        <w:tc>
          <w:tcPr>
            <w:tcW w:w="980" w:type="dxa"/>
            <w:vAlign w:val="bottom"/>
            <w:gridSpan w:val="3"/>
          </w:tcPr>
          <w:p>
            <w:pPr>
              <w:jc w:val="right"/>
              <w:ind w:right="60"/>
              <w:spacing w:after="0" w:line="162" w:lineRule="exact"/>
              <w:rPr>
                <w:sz w:val="20"/>
                <w:szCs w:val="20"/>
                <w:color w:val="auto"/>
              </w:rPr>
            </w:pPr>
            <w:r>
              <w:rPr>
                <w:rFonts w:ascii="Arial" w:cs="Arial" w:eastAsia="Arial" w:hAnsi="Arial"/>
                <w:sz w:val="15"/>
                <w:szCs w:val="15"/>
                <w:color w:val="auto"/>
              </w:rPr>
              <w:t>(5,056,878)</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Sale of equity through equity financing</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facilities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5,571,428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55,713</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5,739,034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5,794,747</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5"/>
                <w:szCs w:val="15"/>
                <w:color w:val="auto"/>
                <w:w w:val="94"/>
              </w:rPr>
              <w:t>Realized and unrealized gains and losses, net,</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20"/>
                <w:szCs w:val="20"/>
                <w:color w:val="auto"/>
              </w:rPr>
            </w:pPr>
            <w:r>
              <w:rPr>
                <w:rFonts w:ascii="Arial" w:cs="Arial" w:eastAsia="Arial" w:hAnsi="Arial"/>
                <w:sz w:val="15"/>
                <w:szCs w:val="15"/>
                <w:color w:val="auto"/>
              </w:rPr>
              <w:t>on investments securities</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(38,965)</w:t>
            </w: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5"/>
                <w:szCs w:val="15"/>
                <w:color w:val="auto"/>
              </w:rPr>
              <w:t>(38,965)</w:t>
            </w: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Stock-based compensation expense</w:t>
            </w:r>
          </w:p>
        </w:tc>
        <w:tc>
          <w:tcPr>
            <w:tcW w:w="9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3"/>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451,965</w:t>
            </w:r>
          </w:p>
        </w:tc>
        <w:tc>
          <w:tcPr>
            <w:tcW w:w="8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451,965</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5"/>
                <w:szCs w:val="15"/>
                <w:color w:val="auto"/>
              </w:rPr>
              <w:t>Issuance of restricted stock in lieu of cash</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20"/>
                <w:szCs w:val="20"/>
                <w:color w:val="auto"/>
              </w:rPr>
            </w:pPr>
            <w:r>
              <w:rPr>
                <w:rFonts w:ascii="Arial" w:cs="Arial" w:eastAsia="Arial" w:hAnsi="Arial"/>
                <w:sz w:val="15"/>
                <w:szCs w:val="15"/>
                <w:color w:val="auto"/>
              </w:rPr>
              <w:t>bonus</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429,855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4,299</w:t>
            </w:r>
          </w:p>
        </w:tc>
        <w:tc>
          <w:tcPr>
            <w:tcW w:w="1200" w:type="dxa"/>
            <w:vAlign w:val="bottom"/>
            <w:gridSpan w:val="3"/>
          </w:tcPr>
          <w:p>
            <w:pPr>
              <w:jc w:val="right"/>
              <w:ind w:right="200"/>
              <w:spacing w:after="0"/>
              <w:rPr>
                <w:sz w:val="20"/>
                <w:szCs w:val="20"/>
                <w:color w:val="auto"/>
              </w:rPr>
            </w:pPr>
            <w:r>
              <w:rPr>
                <w:rFonts w:ascii="Arial" w:cs="Arial" w:eastAsia="Arial" w:hAnsi="Arial"/>
                <w:sz w:val="15"/>
                <w:szCs w:val="15"/>
                <w:color w:val="auto"/>
              </w:rPr>
              <w:t>494,333</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5"/>
                <w:szCs w:val="15"/>
                <w:color w:val="auto"/>
              </w:rPr>
              <w:t>498,632</w:t>
            </w:r>
          </w:p>
        </w:tc>
        <w:tc>
          <w:tcPr>
            <w:tcW w:w="0" w:type="dxa"/>
            <w:vAlign w:val="bottom"/>
          </w:tcPr>
          <w:p>
            <w:pPr>
              <w:spacing w:after="0"/>
              <w:rPr>
                <w:sz w:val="1"/>
                <w:szCs w:val="1"/>
                <w:color w:val="auto"/>
              </w:rPr>
            </w:pPr>
          </w:p>
        </w:tc>
      </w:tr>
      <w:tr>
        <w:trPr>
          <w:trHeight w:val="27"/>
        </w:trPr>
        <w:tc>
          <w:tcPr>
            <w:tcW w:w="296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Balance at March 31, 2020</w:t>
            </w: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2960" w:type="dxa"/>
            <w:vAlign w:val="bottom"/>
            <w:vMerge w:val="continue"/>
            <w:shd w:val="clear" w:color="auto" w:fill="CCEEFF"/>
          </w:tcPr>
          <w:p>
            <w:pPr>
              <w:spacing w:after="0"/>
              <w:rPr>
                <w:sz w:val="24"/>
                <w:szCs w:val="2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29,257,101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292,574</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$ 311,570,995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334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(85,188)</w:t>
            </w: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3,813</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2"/>
              </w:rPr>
              <w:t>$ (295,573,658)</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w w:val="98"/>
              </w:rPr>
              <w:t>$ 16,208,536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8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880" w:type="dxa"/>
            <w:vAlign w:val="bottom"/>
            <w:gridSpan w:val="5"/>
            <w:vMerge w:val="restart"/>
          </w:tcPr>
          <w:p>
            <w:pPr>
              <w:jc w:val="right"/>
              <w:ind w:right="499"/>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w:t>
            </w:r>
          </w:p>
        </w:tc>
        <w:tc>
          <w:tcPr>
            <w:tcW w:w="110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8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Paid in</w:t>
            </w:r>
          </w:p>
        </w:tc>
        <w:tc>
          <w:tcPr>
            <w:tcW w:w="1880" w:type="dxa"/>
            <w:vAlign w:val="bottom"/>
            <w:gridSpan w:val="5"/>
            <w:vMerge w:val="continue"/>
          </w:tcPr>
          <w:p>
            <w:pPr>
              <w:spacing w:after="0"/>
              <w:rPr>
                <w:sz w:val="14"/>
                <w:szCs w:val="14"/>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OtherCompr.</w:t>
            </w: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98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98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110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January 1, 2019</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18,831,834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188,322</w:t>
            </w:r>
          </w:p>
        </w:tc>
        <w:tc>
          <w:tcPr>
            <w:tcW w:w="11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$ 294,393,313</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(85,188)</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29,872</w:t>
            </w:r>
          </w:p>
        </w:tc>
        <w:tc>
          <w:tcPr>
            <w:tcW w:w="11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93"/>
              </w:rPr>
              <w:t>$ (273,665,247)</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2"/>
              </w:rPr>
              <w:t>$ 20,861,072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(2,367,452)</w:t>
            </w:r>
          </w:p>
        </w:tc>
        <w:tc>
          <w:tcPr>
            <w:tcW w:w="8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(2,367,452)</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equity through equity financing facilities</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822,186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8,222</w:t>
            </w:r>
          </w:p>
        </w:tc>
        <w:tc>
          <w:tcPr>
            <w:tcW w:w="11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1,746,663</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1,754,885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40" w:type="dxa"/>
            <w:vAlign w:val="bottom"/>
          </w:tcPr>
          <w:p>
            <w:pPr>
              <w:spacing w:after="0" w:line="130" w:lineRule="exact"/>
              <w:rPr>
                <w:sz w:val="20"/>
                <w:szCs w:val="20"/>
                <w:color w:val="auto"/>
              </w:rPr>
            </w:pPr>
            <w:r>
              <w:rPr>
                <w:rFonts w:ascii="Arial" w:cs="Arial" w:eastAsia="Arial" w:hAnsi="Arial"/>
                <w:sz w:val="14"/>
                <w:szCs w:val="14"/>
                <w:color w:val="auto"/>
              </w:rPr>
              <w:t>Common stock warrants issued in connection with</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amendment to modify earn-out milestone payments</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4"/>
                <w:szCs w:val="14"/>
                <w:color w:val="auto"/>
              </w:rPr>
              <w:t>400,000</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gridSpan w:val="4"/>
          </w:tcPr>
          <w:p>
            <w:pPr>
              <w:jc w:val="right"/>
              <w:ind w:right="100"/>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Realized and unrealized gains and losses, net, on</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investments securities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56,952</w:t>
            </w:r>
          </w:p>
        </w:tc>
        <w:tc>
          <w:tcPr>
            <w:tcW w:w="11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56,952</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691,145</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691,145</w:t>
            </w:r>
          </w:p>
        </w:tc>
        <w:tc>
          <w:tcPr>
            <w:tcW w:w="0" w:type="dxa"/>
            <w:vAlign w:val="bottom"/>
          </w:tcPr>
          <w:p>
            <w:pPr>
              <w:spacing w:after="0"/>
              <w:rPr>
                <w:sz w:val="1"/>
                <w:szCs w:val="1"/>
                <w:color w:val="auto"/>
              </w:rPr>
            </w:pPr>
          </w:p>
        </w:tc>
      </w:tr>
      <w:tr>
        <w:trPr>
          <w:trHeight w:val="182"/>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Issuance of restricted stock</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(80)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40" w:type="dxa"/>
            <w:vAlign w:val="bottom"/>
            <w:tcBorders>
              <w:top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Balance at March 31, 2019</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19,662,020</w:t>
            </w: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196,624</w:t>
            </w: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$ 297,231,041</w:t>
            </w:r>
          </w:p>
        </w:tc>
        <w:tc>
          <w:tcPr>
            <w:tcW w:w="220" w:type="dxa"/>
            <w:vAlign w:val="bottom"/>
            <w:tcBorders>
              <w:top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334</w:t>
            </w: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(85,188</w:t>
            </w:r>
          </w:p>
        </w:tc>
        <w:tc>
          <w:tcPr>
            <w:tcW w:w="120" w:type="dxa"/>
            <w:vAlign w:val="bottom"/>
            <w:tcBorders>
              <w:top w:val="single" w:sz="8" w:color="CCEEFF"/>
            </w:tcBorders>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86,824</w:t>
            </w:r>
          </w:p>
        </w:tc>
        <w:tc>
          <w:tcPr>
            <w:tcW w:w="200" w:type="dxa"/>
            <w:vAlign w:val="bottom"/>
            <w:tcBorders>
              <w:top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 (276,032,699</w:t>
            </w:r>
          </w:p>
        </w:tc>
        <w:tc>
          <w:tcPr>
            <w:tcW w:w="220" w:type="dxa"/>
            <w:vAlign w:val="bottom"/>
            <w:tcBorders>
              <w:top w:val="single" w:sz="8" w:color="CCEEFF"/>
            </w:tcBorders>
          </w:tcPr>
          <w:p>
            <w:pPr>
              <w:jc w:val="right"/>
              <w:ind w:right="88"/>
              <w:spacing w:after="0" w:line="149" w:lineRule="exact"/>
              <w:rPr>
                <w:sz w:val="20"/>
                <w:szCs w:val="20"/>
                <w:color w:val="auto"/>
              </w:rPr>
            </w:pPr>
            <w:r>
              <w:rPr>
                <w:rFonts w:ascii="Arial" w:cs="Arial" w:eastAsia="Arial" w:hAnsi="Arial"/>
                <w:sz w:val="14"/>
                <w:szCs w:val="14"/>
                <w:color w:val="auto"/>
                <w:w w:val="84"/>
              </w:rPr>
              <w:t>)</w:t>
            </w:r>
          </w:p>
        </w:tc>
        <w:tc>
          <w:tcPr>
            <w:tcW w:w="20" w:type="dxa"/>
            <w:vAlign w:val="bottom"/>
            <w:tcBorders>
              <w:top w:val="single" w:sz="8" w:color="CCEEFF"/>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$ 21,396,602</w:t>
            </w:r>
          </w:p>
        </w:tc>
        <w:tc>
          <w:tcPr>
            <w:tcW w:w="2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Celsion Corporation (“Celsion” and the “Company”) is a fully integrated development stage oncology drug company focused on advancing a portfolio of innovative cancer treatments, including directed chemotherapies, DNA-mediated immunotherapy and RNA based therapies. Our lead product candidate is</w:t>
      </w:r>
    </w:p>
    <w:p>
      <w:pPr>
        <w:jc w:val="both"/>
        <w:spacing w:after="0" w:line="250" w:lineRule="auto"/>
        <w:rPr>
          <w:sz w:val="20"/>
          <w:szCs w:val="20"/>
          <w:color w:val="auto"/>
        </w:rPr>
      </w:pPr>
      <w:r>
        <w:rPr>
          <w:rFonts w:ascii="Arial" w:cs="Arial" w:eastAsia="Arial" w:hAnsi="Arial"/>
          <w:sz w:val="17"/>
          <w:szCs w:val="17"/>
          <w:color w:val="auto"/>
        </w:rPr>
        <w:t>ThermoDox</w:t>
      </w:r>
      <w:r>
        <w:rPr>
          <w:rFonts w:ascii="Arial" w:cs="Arial" w:eastAsia="Arial" w:hAnsi="Arial"/>
          <w:sz w:val="28"/>
          <w:szCs w:val="28"/>
          <w:color w:val="auto"/>
          <w:vertAlign w:val="superscript"/>
        </w:rPr>
        <w:t>®</w:t>
      </w:r>
      <w:r>
        <w:rPr>
          <w:rFonts w:ascii="Arial" w:cs="Arial" w:eastAsia="Arial" w:hAnsi="Arial"/>
          <w:sz w:val="17"/>
          <w:szCs w:val="17"/>
          <w:color w:val="auto"/>
        </w:rPr>
        <w:t>, a proprietary heat-activated liposomal encapsulation of doxorubicin, currently in a Phase III clinical trial for the treatment of primary liver cancer (the “OPTIMA Study”). Second in our pipeline is GEN-1, a DNA-mediated immunotherapy for the localized treatment of ovarian cancer. These investigational products are based on our two platform technologies which, in addition, provide the basis for the future development of a range of therapeutics for difficult-to-treat forms of cancer. Our first platform is Lysolipid Thermally Sensitive Liposomes, a heat sensitive liposomal based dosage form that targets disease with known therapeutics in the presence of mild heat. Our second is TheraPlas, a novel nucleic acid-based treatment for local transfection of therapeutic plasmids. With these technologies we are working to develop and commercialize more efficient, effective and targeted oncology therapies that maximize efficacy while minimizing side-effects common to cancer treatments.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the Company and its wholly owned subsidiary, CLSN Laboratories, Inc, have been prepared in accordance with generally accepted accounting principles in the United States (GAAP) for interim financial information and with the instructions to Form 10-Q and Article 10 of Regulation S-X. All significant intercompany balances and transactions have been eliminated in consolidation. Certain information and disclosures normally included in financial statements prepared in accordance with GAAP have been condensed or omitted pursuant to such rules and regulations.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three-month period March 31, 2020 and 2019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2019 filed with the Securities and Exchange Commission (SEC) on March 25, 2020.</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With the recent introduction of the COVID-19 pandemic to the United States, the Company continues to monitor the impact of this pandemic on its financial condition and results of operations, along with the valuation of its long-term assets, intangible assets, and goodwill. The effect of this matter could potentially have an impact on the valuation of such assets in the future. The COVID-19 matter is discussed in more detail in Note 3 to the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Financial Condition and Business Plan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have incurred significant net losses in each year since our inception. As of March 31, 2020, the Company has incurred approximately $296 million of cumulative net losses and we had approximately $17.5 million in cash, investment securities, interest receivable and receivables from the sale of our State of New Jersey net operating losses.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January 2020, the World Health Organization (WHO) declared an outbreak of coronavirus, COVID-19, to be a “Public Health Emergency of International Concern,” and the U.S. Department of Health and Human Services declared a public health emergency to aid the U.S. healthcare community in responding to COVID-19. This virus continues to spread globally and, as of mid-May 2020, has spread to over 100 countries, including the United States.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for the three months ended March 31, 2020 due to the global emergence of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ability to raise additional capital may be adversely impacted by potential worsening global economic conditions and the recent disruptions to, and volatility in, financial markets in the United States and worldwide resulting from the ongoing COVID-19 pandemic.</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disruptions caused by COVID-19 may also disrupt the clinical trials process and enrollment of patients. This may delay commercialization efforts. The Company is currently monitoring its operating activities in light of these events and it is reasonably possible that the virus could have a negative effect on the Company’s financial condition and results of operations, the specific impact is not readily determinable as of the date of these financial statements.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spacing w:after="0" w:line="279" w:lineRule="auto"/>
        <w:rPr>
          <w:sz w:val="20"/>
          <w:szCs w:val="20"/>
          <w:color w:val="auto"/>
        </w:rPr>
      </w:pPr>
      <w:r>
        <w:rPr>
          <w:rFonts w:ascii="Arial" w:cs="Arial" w:eastAsia="Arial" w:hAnsi="Arial"/>
          <w:sz w:val="17"/>
          <w:szCs w:val="17"/>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companies. As more fully discussed in Note 9, the Company received approval from the New Jersey Economic Development Authority to sell $1.9 million of its State of New Jersey net operating losses recognizing a tax benefit for the year ended December 31, 2019 for the net proceeds (approximately $1.8 million). In early 2020, the Company entered into an agreement to sell these net operating losses, In April of 2020, the Company completed the sale of the New Jersey net operating losses and received the $1.8 million net proceeds. In 2018, the Company completed the sale of a portion of its New Jersey net operating losses for 2011 - 2017 totaling approximately $11.1 for net proceeds of approximately $10.4 million in December 2018. The proceeds of $10.4 million were reflected as a tax benefit for the year ended December 31, 2018. The Company has approximately $2.0 million available in future tax benefits remaining under the NOL Program for future years.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the Company entered into the Horizon Credit Agreement with Horizon that provided $10 million in new capital.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twenty-four (24) months after through July 2020, closing, followed by a 24-month amortization period of principal and interest starting on August 1, 2020 and ending through the scheduled maturity date. On May 13, 2020, the Company and Horizon agreed to defer the first two principal payments totaling $833,333 due in August and September 2020.</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$17.5 million in cash, investments, interest receivable and receivable from the sale of the New Jersey net operating losses at March 31, 2020, coupled with future sales of the Company’s New Jersey NOL’s as well as the remaining availability under the Capital-on-Demand Equity Facility with JonesTrading Institutional Services LLC, the Company believes it has sufficient capital resources to fund its operations through mid-2021.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Accounting Pronouncements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and are adopted by us as of the specified effective date. Unless otherwise discussed, we believe that the impact of recently issued accounting pronouncements will not have a material impact on the Company’s condensed consolidated financial position, results of operations, and cash flows, or do not apply to our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In June 2016, the FASB issued Accounting Standard Update No. 2016-13, “Financial Instruments – Credit Losses (Topic 326): Measurement of Credit Losses on Financial Instruments”, which modifies the measurement of expected credit losses on certain financial instruments. The Company will adopt ASU 2016-13 in its first quarter of 2021 utilizing the modified retrospective transition method. Based on the composition of the Company’s investment portfolio and current market conditions, the adoption of ASU 2016-13 is not expected to have a material impact on its condensed consolidated financial statements.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Disclosure Framework – 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which adds and modifies certain disclosure requirements for fair value measurements. Under the new guidance, entities will no longer</w:t>
      </w:r>
      <w:r>
        <w:rPr>
          <w:rFonts w:ascii="Arial" w:cs="Arial" w:eastAsia="Arial" w:hAnsi="Arial"/>
          <w:sz w:val="17"/>
          <w:szCs w:val="17"/>
          <w:i w:val="1"/>
          <w:iCs w:val="1"/>
          <w:color w:val="auto"/>
        </w:rPr>
        <w:t xml:space="preserve"> </w:t>
      </w:r>
      <w:r>
        <w:rPr>
          <w:rFonts w:ascii="Arial" w:cs="Arial" w:eastAsia="Arial" w:hAnsi="Arial"/>
          <w:sz w:val="17"/>
          <w:szCs w:val="17"/>
          <w:color w:val="auto"/>
        </w:rPr>
        <w:t>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and early adoption is permitted. The adoption of this standard did not have an impact on the Company’s condensed consolidated financial statements.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2019, the FASB issued ASU No. 2019-12, Income Taxes (Topic 740). The standard simplifies the accounting for incomes taxes by removing certain exceptions to the general principles in Topic 740 related to the approach for intra-period tax allocation and the recognition of deferred tax liabilities for outside basis differences. The standard also clarifies the accounting for transactions that result in a step-up in the tax basis of goodwill. The standard also improves consistent application of and simplifies GAAP for other areas of Topic 740 by clarifying and amending existing guidance. The amendment is effective for fiscal years, and interim periods within those fiscal years, beginning after December 15, 2020. Early adoption is permitted. The Company is currently evaluating the impact that the adoption of this standard will have on its condensed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total number of shares of common stock issuable upon exercise of warrants, stock option grants and equity awards were 7,982,990 and 5,412,554 shares for the three-month periods ended March 31, 2020 and 2019, respectively. Warrants with an exercise price of $0.01 (as more fully described in Note</w:t>
      </w:r>
    </w:p>
    <w:p>
      <w:pPr>
        <w:jc w:val="both"/>
        <w:ind w:firstLine="8"/>
        <w:spacing w:after="0" w:line="253" w:lineRule="auto"/>
        <w:tabs>
          <w:tab w:leader="none" w:pos="293"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exercisable for 200,000 shares of common stock were considered issued in calculating basic loss per share. For the three-month periods ended March 31, 2020 and 2019,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pay any dividends during the three-month periods ended March 31,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 in Debt Securities Available for Sale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Investments in debt securities available for sale with a fair value of $9,887,455 and $7,985,886 as of March 31, 2020 and December 31, 2019, respectively, consist of corporate debt securities. These investments are valued at estimated fair value, with unrealized gains and losses reported as a separate component of stockholders’ equity in accumulated other comprehensive loss.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Investments in debt 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6"/>
          </w:tcPr>
          <w:p>
            <w:pPr>
              <w:ind w:left="640"/>
              <w:spacing w:after="0"/>
              <w:rPr>
                <w:sz w:val="20"/>
                <w:szCs w:val="20"/>
                <w:color w:val="auto"/>
              </w:rPr>
            </w:pPr>
            <w:r>
              <w:rPr>
                <w:rFonts w:ascii="Arial" w:cs="Arial" w:eastAsia="Arial" w:hAnsi="Arial"/>
                <w:sz w:val="18"/>
                <w:szCs w:val="18"/>
                <w:b w:val="1"/>
                <w:bCs w:val="1"/>
                <w:color w:val="auto"/>
              </w:rPr>
              <w:t>March 31, 2020</w:t>
            </w:r>
          </w:p>
        </w:tc>
        <w:tc>
          <w:tcPr>
            <w:tcW w:w="280" w:type="dxa"/>
            <w:vAlign w:val="bottom"/>
          </w:tcPr>
          <w:p>
            <w:pPr>
              <w:spacing w:after="0"/>
              <w:rPr>
                <w:sz w:val="20"/>
                <w:szCs w:val="20"/>
                <w:color w:val="auto"/>
              </w:rPr>
            </w:pPr>
          </w:p>
        </w:tc>
        <w:tc>
          <w:tcPr>
            <w:tcW w:w="282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 2019</w:t>
            </w:r>
          </w:p>
        </w:tc>
      </w:tr>
      <w:tr>
        <w:trPr>
          <w:trHeight w:val="237"/>
        </w:trPr>
        <w:tc>
          <w:tcPr>
            <w:tcW w:w="4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Investments in debt securities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9,883,642</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9,887,455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7,943,108</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7,985,886</w:t>
            </w:r>
          </w:p>
        </w:tc>
      </w:tr>
      <w:tr>
        <w:trPr>
          <w:trHeight w:val="229"/>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9,883,642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9,887,455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7,943,108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7,985,886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6"/>
          </w:tcPr>
          <w:p>
            <w:pPr>
              <w:ind w:left="640"/>
              <w:spacing w:after="0"/>
              <w:rPr>
                <w:sz w:val="20"/>
                <w:szCs w:val="20"/>
                <w:color w:val="auto"/>
              </w:rPr>
            </w:pPr>
            <w:r>
              <w:rPr>
                <w:rFonts w:ascii="Arial" w:cs="Arial" w:eastAsia="Arial" w:hAnsi="Arial"/>
                <w:sz w:val="18"/>
                <w:szCs w:val="18"/>
                <w:b w:val="1"/>
                <w:bCs w:val="1"/>
                <w:color w:val="auto"/>
              </w:rPr>
              <w:t>March 31, 2020</w:t>
            </w:r>
          </w:p>
        </w:tc>
        <w:tc>
          <w:tcPr>
            <w:tcW w:w="280" w:type="dxa"/>
            <w:vAlign w:val="bottom"/>
          </w:tcPr>
          <w:p>
            <w:pPr>
              <w:spacing w:after="0"/>
              <w:rPr>
                <w:sz w:val="20"/>
                <w:szCs w:val="20"/>
                <w:color w:val="auto"/>
              </w:rPr>
            </w:pPr>
          </w:p>
        </w:tc>
        <w:tc>
          <w:tcPr>
            <w:tcW w:w="2820" w:type="dxa"/>
            <w:vAlign w:val="bottom"/>
            <w:gridSpan w:val="7"/>
          </w:tcPr>
          <w:p>
            <w:pPr>
              <w:ind w:left="480"/>
              <w:spacing w:after="0"/>
              <w:rPr>
                <w:sz w:val="20"/>
                <w:szCs w:val="20"/>
                <w:color w:val="auto"/>
              </w:rPr>
            </w:pPr>
            <w:r>
              <w:rPr>
                <w:rFonts w:ascii="Arial" w:cs="Arial" w:eastAsia="Arial" w:hAnsi="Arial"/>
                <w:sz w:val="18"/>
                <w:szCs w:val="18"/>
                <w:b w:val="1"/>
                <w:bCs w:val="1"/>
                <w:color w:val="auto"/>
              </w:rPr>
              <w:t>December 31, 2019</w:t>
            </w:r>
          </w:p>
        </w:tc>
      </w:tr>
      <w:tr>
        <w:trPr>
          <w:trHeight w:val="236"/>
        </w:trPr>
        <w:tc>
          <w:tcPr>
            <w:tcW w:w="4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gridSpan w:val="2"/>
          </w:tcPr>
          <w:p>
            <w:pPr>
              <w:spacing w:after="0"/>
              <w:rPr>
                <w:sz w:val="20"/>
                <w:szCs w:val="20"/>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Within 3 months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5,592,801</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5,592,490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7,943,108</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7,985,886</w:t>
            </w:r>
          </w:p>
        </w:tc>
        <w:tc>
          <w:tcPr>
            <w:tcW w:w="80" w:type="dxa"/>
            <w:vAlign w:val="bottom"/>
          </w:tcPr>
          <w:p>
            <w:pPr>
              <w:spacing w:after="0"/>
              <w:rPr>
                <w:sz w:val="18"/>
                <w:szCs w:val="18"/>
                <w:color w:val="auto"/>
              </w:rPr>
            </w:pPr>
          </w:p>
        </w:tc>
      </w:tr>
      <w:tr>
        <w:trPr>
          <w:trHeight w:val="24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4,290,841</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4,294,965</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9,883,642</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9,887,455</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7,943,108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7,985,886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shows the Company’s investment securities gross unrealized gains (losses) and fair value by investment category and length of time that individual securities have been in a continuous unrealized loss position at March 31, 2020 and December 31, 2019. The Company has reviewed individual securities to determine whether a decline in fair value below the amortizable cost basis is other than temporary.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March 31, 2020</w:t>
            </w:r>
          </w:p>
        </w:tc>
        <w:tc>
          <w:tcPr>
            <w:tcW w:w="220" w:type="dxa"/>
            <w:vAlign w:val="bottom"/>
          </w:tcPr>
          <w:p>
            <w:pPr>
              <w:spacing w:after="0"/>
              <w:rPr>
                <w:sz w:val="20"/>
                <w:szCs w:val="20"/>
                <w:color w:val="auto"/>
              </w:rPr>
            </w:pPr>
          </w:p>
        </w:tc>
        <w:tc>
          <w:tcPr>
            <w:tcW w:w="3000" w:type="dxa"/>
            <w:vAlign w:val="bottom"/>
            <w:gridSpan w:val="6"/>
          </w:tcPr>
          <w:p>
            <w:pPr>
              <w:ind w:left="620"/>
              <w:spacing w:after="0"/>
              <w:rPr>
                <w:sz w:val="20"/>
                <w:szCs w:val="20"/>
                <w:color w:val="auto"/>
              </w:rPr>
            </w:pPr>
            <w:r>
              <w:rPr>
                <w:rFonts w:ascii="Arial" w:cs="Arial" w:eastAsia="Arial" w:hAnsi="Arial"/>
                <w:sz w:val="18"/>
                <w:szCs w:val="18"/>
                <w:b w:val="1"/>
                <w:bCs w:val="1"/>
                <w:color w:val="auto"/>
              </w:rPr>
              <w:t>December 31, 2019</w:t>
            </w: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7"/>
                <w:szCs w:val="17"/>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Holding</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Holding</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w w:val="91"/>
              </w:rPr>
              <w:t xml:space="preserve">Available for sale securities </w:t>
            </w:r>
            <w:r>
              <w:rPr>
                <w:rFonts w:ascii="Arial" w:cs="Arial" w:eastAsia="Arial" w:hAnsi="Arial"/>
                <w:sz w:val="18"/>
                <w:szCs w:val="18"/>
                <w:color w:val="auto"/>
                <w:w w:val="91"/>
              </w:rPr>
              <w:t>(all unrealized holding gains and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Gains</w:t>
            </w: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color w:val="auto"/>
              </w:rPr>
              <w:t>losses are less than 12 months at date of measurement)</w:t>
            </w:r>
          </w:p>
        </w:tc>
        <w:tc>
          <w:tcPr>
            <w:tcW w:w="22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3"/>
              </w:rPr>
              <w:t>(Losses)</w:t>
            </w: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(Losses)</w:t>
            </w:r>
          </w:p>
        </w:tc>
      </w:tr>
      <w:tr>
        <w:trPr>
          <w:trHeight w:val="216"/>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debt securities with unrealized gains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6,591,505</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7,985,886</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42,778</w:t>
            </w:r>
          </w:p>
        </w:tc>
      </w:tr>
      <w:tr>
        <w:trPr>
          <w:trHeight w:val="237"/>
        </w:trPr>
        <w:tc>
          <w:tcPr>
            <w:tcW w:w="4620" w:type="dxa"/>
            <w:vAlign w:val="bottom"/>
            <w:gridSpan w:val="2"/>
          </w:tcPr>
          <w:p>
            <w:pPr>
              <w:spacing w:after="0"/>
              <w:rPr>
                <w:sz w:val="20"/>
                <w:szCs w:val="20"/>
                <w:color w:val="auto"/>
              </w:rPr>
            </w:pPr>
            <w:r>
              <w:rPr>
                <w:rFonts w:ascii="Arial" w:cs="Arial" w:eastAsia="Arial" w:hAnsi="Arial"/>
                <w:sz w:val="18"/>
                <w:szCs w:val="18"/>
                <w:color w:val="auto"/>
              </w:rPr>
              <w:t>Investments in debt securities with unrealized losses</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3,295,950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(6,510)</w:t>
            </w: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9,887,455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7,985,886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income, which includes net realized gains on sales of available for sale securities and investment income interest and dividends, is summarized as follows:</w:t>
      </w:r>
    </w:p>
    <w:p>
      <w:pPr>
        <w:spacing w:after="0" w:line="166"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0" w:type="dxa"/>
            <w:vAlign w:val="bottom"/>
            <w:tcBorders>
              <w:bottom w:val="single" w:sz="8" w:color="CCEEFF"/>
            </w:tcBorders>
          </w:tcPr>
          <w:p>
            <w:pPr>
              <w:spacing w:after="0"/>
              <w:rPr>
                <w:sz w:val="21"/>
                <w:szCs w:val="21"/>
                <w:color w:val="auto"/>
              </w:rPr>
            </w:pPr>
          </w:p>
        </w:tc>
        <w:tc>
          <w:tcPr>
            <w:tcW w:w="324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3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61"/>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0" w:type="dxa"/>
            <w:vAlign w:val="bottom"/>
          </w:tcPr>
          <w:p>
            <w:pPr>
              <w:spacing w:after="0"/>
              <w:rPr>
                <w:sz w:val="20"/>
                <w:szCs w:val="20"/>
                <w:color w:val="auto"/>
              </w:rPr>
            </w:pPr>
            <w:r>
              <w:rPr>
                <w:rFonts w:ascii="Arial" w:cs="Arial" w:eastAsia="Arial" w:hAnsi="Arial"/>
                <w:sz w:val="18"/>
                <w:szCs w:val="18"/>
                <w:color w:val="auto"/>
              </w:rPr>
              <w:t>Realized gains</w:t>
            </w:r>
          </w:p>
        </w:tc>
        <w:tc>
          <w:tcPr>
            <w:tcW w:w="3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43,232</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30"/>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88,309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240" w:type="dxa"/>
            <w:vAlign w:val="bottom"/>
            <w:vMerge w:val="restart"/>
          </w:tcPr>
          <w:p>
            <w:pPr>
              <w:jc w:val="right"/>
              <w:ind w:right="1630"/>
              <w:spacing w:after="0"/>
              <w:rPr>
                <w:sz w:val="20"/>
                <w:szCs w:val="20"/>
                <w:color w:val="auto"/>
              </w:rPr>
            </w:pPr>
            <w:r>
              <w:rPr>
                <w:rFonts w:ascii="Arial" w:cs="Arial" w:eastAsia="Arial" w:hAnsi="Arial"/>
                <w:sz w:val="18"/>
                <w:szCs w:val="18"/>
                <w:color w:val="auto"/>
              </w:rPr>
              <w:t>14</w:t>
            </w: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FASB Accounting Standards Codification (ASC) Section 820 “Fair Value Measurements and Disclosures,”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and cash equivalents, accounts payable and other accrued liabilities are reflected in the condensed consolidated balance sheet at their approximate estimated fair values primarily due to their short-term nature. The fair values of securities available for sale are determined by relying on the securities’ relationship to other benchmark quoted securities and classified its investments as Level 2 items at March 31, 2020 and December 31, 2019. There were no transfers of assets or liabilities between Level 1 and Level 2 and no transfers in or out of Level 3 during the thee-month period ended March 31, 2020 or during the year ended December 31, 2019. The changes in Level 3 liabilities were the result of changes in the fair value of the earn-out milestone liability included in earnings and in-process R&amp;D. The earnout milestone liability is valued using a risk-adjusted assessment of the probability of payment of each milestone, discounted to present value using an estimated time to achieve the milestone (see Note 13). The in-process R&amp;D is valued using a multi-period excess earnings method (see Note 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Quoted Prices in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Active Markets</w:t>
            </w: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Total Fair</w:t>
            </w: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Assets/Liabilities</w:t>
            </w: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Observable</w:t>
            </w:r>
          </w:p>
        </w:tc>
        <w:tc>
          <w:tcPr>
            <w:tcW w:w="22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41"/>
        </w:trPr>
        <w:tc>
          <w:tcPr>
            <w:tcW w:w="4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(Level 1)</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Inputs (Level 2)</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3)</w:t>
            </w: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March 31, 2020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Corporate debt securities, available for sale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9,887,455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9,887,455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Recurring items as of December 31, 2019</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 available for sale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7,985,886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7,985,886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March 31, 2020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Earn-out milestone liability (Note 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5,758,983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5,758,983</w:t>
            </w:r>
          </w:p>
        </w:tc>
      </w:tr>
      <w:tr>
        <w:trPr>
          <w:trHeight w:val="216"/>
        </w:trPr>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Recurring items as of December 31, 2019</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milestone liability (Note 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5,717,709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5,717,709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2014, we completed the acquisition of substantially all of the assets of EGEN, Inc., an Alabama corporation, which has changed its company name to EGWU, Inc. after the closing of the acquisition (“EGEN”).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The Company’s IPR&amp;D consisted of three core elements, its RNA delivery system, its glioblastoma multiforme cancer (GBM) product candidate and its ovarian cancer indication.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ovarian cancer indication, with original value of $13.3 million has not been impaired since its acquisition. At September 30, 2019 the Company evaluated its IPR&amp;D of the ovarian cancer indication and concluded that it is not more likely than not that the asset is impaired. As no other indicators of impairment existed during the fourth quarter of 2019 or first quarter of 2020, no impairment charges were recorded during the three months ended March 31, 2020 and 2019.</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GBM candidate, with original value of $9.4 million had cumulative impairments through 2018 of $7 million, with remaining carrying value of $2.4 million at December 31, 2019 and March 31, 2020, On September 30, 2019, the Company evaluated its IPR&amp;D of the (GBM) product candidate and concluded that it is not more likely than not that the asset is further impaired. As no other indicators of impairment existed during the fourth quarter of 2019 and in the first quarter of 2020, no impairment charges were recorded during the three months ended March 31, 2020 and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Company’s RNA delivery system, with an initial value of $1.5 million was previously fully impaired.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Not to Compete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amortization expense of $56,829 in each of the three-month periods ended March 31, 2020 and 2019. The carrying value of the Covenant Not to Compete was $284,147, net of $1,307,067 accumulated amortization as of March 31, 2020 and $340,976, net of $1,250,238 accumulated amortization, as of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schedule of future amortization amounts during the remaining life of the Covenant Not to Compete.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41"/>
        </w:trPr>
        <w:tc>
          <w:tcPr>
            <w:tcW w:w="34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2021</w:t>
            </w:r>
          </w:p>
        </w:tc>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56,829</w:t>
            </w: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2022 and thereafter</w:t>
            </w:r>
          </w:p>
        </w:tc>
        <w:tc>
          <w:tcPr>
            <w:tcW w:w="5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55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284,147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520" w:type="dxa"/>
            <w:vAlign w:val="bottom"/>
            <w:vMerge w:val="restart"/>
          </w:tcPr>
          <w:p>
            <w:pPr>
              <w:jc w:val="right"/>
              <w:ind w:right="3190"/>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48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March 31, 2020, we concluded that the Company’s fair value exceeded its carrying value therefore “it is not more likely than not” that the Goodwill was impaired.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the net fair value of the assets acquired in the EGEN asset acquisition for the three-month period ended March 31, 2020:</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Covenant Not To</w:t>
            </w:r>
          </w:p>
        </w:tc>
      </w:tr>
      <w:tr>
        <w:trPr>
          <w:trHeight w:val="237"/>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IPR&amp;D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8"/>
                <w:szCs w:val="18"/>
                <w:color w:val="auto"/>
              </w:rPr>
              <w:t>Compete</w:t>
            </w: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For the three-months ended March 31, 2020</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Balance at January 1, 2020,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15,736,491</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1,976,101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340,976</w:t>
            </w:r>
          </w:p>
        </w:tc>
        <w:tc>
          <w:tcPr>
            <w:tcW w:w="80" w:type="dxa"/>
            <w:vAlign w:val="bottom"/>
          </w:tcPr>
          <w:p>
            <w:pPr>
              <w:spacing w:after="0"/>
              <w:rPr>
                <w:sz w:val="18"/>
                <w:szCs w:val="18"/>
                <w:color w:val="auto"/>
              </w:rPr>
            </w:pPr>
          </w:p>
        </w:tc>
      </w:tr>
      <w:tr>
        <w:trPr>
          <w:trHeight w:val="24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(56,829)</w:t>
            </w:r>
          </w:p>
        </w:tc>
      </w:tr>
      <w:tr>
        <w:trPr>
          <w:trHeight w:val="217"/>
        </w:trPr>
        <w:tc>
          <w:tcPr>
            <w:tcW w:w="6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March 31, 2020,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15,736,491</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1,976,101</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284,147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Note 9. Accrued Liabilities</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520" w:type="dxa"/>
            <w:vAlign w:val="bottom"/>
          </w:tcPr>
          <w:p>
            <w:pPr>
              <w:spacing w:after="0"/>
              <w:rPr>
                <w:sz w:val="20"/>
                <w:szCs w:val="20"/>
                <w:color w:val="auto"/>
              </w:rPr>
            </w:pPr>
            <w:r>
              <w:rPr>
                <w:rFonts w:ascii="Arial" w:cs="Arial" w:eastAsia="Arial" w:hAnsi="Arial"/>
                <w:sz w:val="18"/>
                <w:szCs w:val="18"/>
                <w:color w:val="auto"/>
                <w:w w:val="91"/>
              </w:rPr>
              <w:t>Other accrued liabilities at March 31, 2020 and December 31, 2019 include the following:</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2019</w:t>
            </w:r>
          </w:p>
        </w:tc>
      </w:tr>
      <w:tr>
        <w:trPr>
          <w:trHeight w:val="216"/>
        </w:trPr>
        <w:tc>
          <w:tcPr>
            <w:tcW w:w="65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w w:val="99"/>
              </w:rPr>
              <w:t>Amounts due to contract research organizations and other contractual agreements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305,000</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475,440</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3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924,659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1,604,541</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204,155</w:t>
            </w:r>
          </w:p>
        </w:tc>
      </w:tr>
      <w:tr>
        <w:trPr>
          <w:trHeight w:val="237"/>
        </w:trPr>
        <w:tc>
          <w:tcPr>
            <w:tcW w:w="652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0"/>
                <w:szCs w:val="20"/>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19,411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19,411</w:t>
            </w:r>
          </w:p>
        </w:tc>
      </w:tr>
      <w:tr>
        <w:trPr>
          <w:trHeight w:val="229"/>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1,399,070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2,303,547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Credit Agreement</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three-month period ended March 31, 2020, the Company incurred $243,299 in interest expense and amortized $96,066 as interest expense for debt discounts and end of term charges in connection with the Horizon Credit Agreement. During the three-month period ended March 31, 2019, the Company incurred $253,289 in interest expense and amortized $97,458 as interest expense for debt discounts and end of term charges in connection with the Horizon Credit Agreement.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13, 2020, the Company and Horizon agreed to defer the first two principle payments totaling a $833,333 due in August and September 2020. Following is a schedule of future principal payments, net of unamortized debt discounts and amortized end of term charges, due on the Horizon Credit Agreement: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 of March 31,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4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2021</w:t>
            </w:r>
          </w:p>
        </w:tc>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4,583,333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2,916,667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2023 and thereafter</w:t>
            </w:r>
          </w:p>
        </w:tc>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 of future principle payments</w:t>
            </w:r>
          </w:p>
        </w:tc>
        <w:tc>
          <w:tcPr>
            <w:tcW w:w="4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Unamortized debt issuance costs, net</w:t>
            </w:r>
          </w:p>
        </w:tc>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(100,257)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9,899,743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160" w:type="dxa"/>
            <w:vAlign w:val="bottom"/>
            <w:vMerge w:val="restart"/>
          </w:tcPr>
          <w:p>
            <w:pPr>
              <w:jc w:val="right"/>
              <w:ind w:right="275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2018, the Company filed with the SEC a new $75 million shelf registration statement on Form S-3 (the “2018 Shelf Registration Statement”) (File No. 333-227236) that allows the Company to issue any combination of common stock, preferred stock or warrants to purchase common stock or preferred stock. This shelf registration was declared effective on October 12, 2018 and will expire three years from that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Aspire Purchase Agreement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October 28, 2019, Company, entered into a common stock purchase agreement (the “2019 Aspire Purchase Agreement”) with Aspire Capital Fund, LLC (“Aspire Capital”) which provides that, upon the terms and subject to the conditions and limitations set forth therein, Aspire Capital is committed to purchase up to an aggregate of $10.0 million of shares of the Company’s common stock over the 24-month term of the 2019 Aspire Purchase Agreement.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2019, the Company sold and issued an aggregate of 0.5 million shares under the 2019 Aspire Purchase Agreement, receiving approximately $0.7 million. During the first quarter of 2020 through March 5, 2020 when the Company delivered notice to Aspire terminating the 2019 Aspire Purchase Agreement, the Company sold 1.0 million shares of common stock under the Aspire Purchase Agreement, receiving approximately $1.6 million in additional gross proceeds.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on Demand</w:t>
      </w:r>
      <w:r>
        <w:rPr>
          <w:rFonts w:ascii="Arial" w:cs="Arial" w:eastAsia="Arial" w:hAnsi="Arial"/>
          <w:sz w:val="29"/>
          <w:szCs w:val="29"/>
          <w:i w:val="1"/>
          <w:iCs w:val="1"/>
          <w:u w:val="single" w:color="auto"/>
          <w:color w:val="auto"/>
          <w:vertAlign w:val="superscript"/>
        </w:rPr>
        <w:t>TM</w:t>
      </w:r>
      <w:r>
        <w:rPr>
          <w:rFonts w:ascii="Arial" w:cs="Arial" w:eastAsia="Arial" w:hAnsi="Arial"/>
          <w:sz w:val="18"/>
          <w:szCs w:val="18"/>
          <w:i w:val="1"/>
          <w:iCs w:val="1"/>
          <w:u w:val="single" w:color="auto"/>
          <w:color w:val="auto"/>
        </w:rPr>
        <w:t xml:space="preserve"> Sales Agreement</w:t>
      </w:r>
    </w:p>
    <w:p>
      <w:pPr>
        <w:spacing w:after="0" w:line="13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On December 4, 2018, the Company entered into a Capital on Demand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Sales Agreement (the “Capital on Demand Agreement”) with JonesTrading Institutional Services LLC, as sales agent (“JonesTrading”), pursuant to which the Company may offer and sell, from time to time, through JonesTrading shares of Common Stock having an aggregate offering price of up to $16.0 million.</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Shares will be issued pursuant to Celsion’s previously filed and effective Registration Statement on Form S-3 (File No. 333-227236), the base prospectus dated October 12, 2018, filed as part of such Registration Statement, and the prospectus supplement dated December 4, 2018, filed by Celsion with the Securities and Exchange Commission. During 2019, the Company sold and issued an aggregate of 0.5 million shares under the Capital on Demand Agreement, receiving approximately $1.0 million in gross proceeds. The Company did not sell any shares under the Capital on Demand Agreement during 2020. As of March 31, 2020, the Company has approximately $15 million available under the Capital on Demand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Registered Direct Offering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February 27, 2020, we entered into a Securities Purchase Agreement (the “Purchase Agreement”) with several institutional investors, pursuant to which we agreed to issue and sell, in a registered direct offering (the “February 2020 Offering”), an aggregate of 4,571,428 shares (the “Shares”) of our common stock at an offering price of $1.05 per share for gross proceeds of approximately $4.8 million before the deduction of the Placement Agent fees and offering expenses. The Shares were offered by the Company pursuant to a registration statement on Form S-3 (File No. 333-227236). The Purchase Agreement contains customary representations, warranties and agreements by the Company and customary conditions to closing. In a concurrent private placement (the “Private Placement”), the Company agreed to issue to the investors that participated in the Offering, for no additional consideration, warrants, to purchase up to 2,971,428 shares of Common Stock (the “Original Warrants”). The Original Warrants were initially exercisable six months following their date of issue and were set to expire on the five-year anniversary of such initial exercise date. The Warrants had an exercise price of $1.15 per share subject to adjustment as provided therein. On March 12, 2020 the Company entered into private exchange agreements (the “Exchange Agreements”) with holders the Warrants. Pursuant to the Exchange Agreements, in return for a higher exercise price of $1.24 per share of Common Stock, the Company issued new warrants to the Investors to purchase up to 3,200,000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2018 Annual Stockholders Meeting of the Company held on May 15, 2018, stockholders approved the Celsion Corporation 2018 Stock Incentive Plan (the “2018 Plan”). The 2018 Plan, as adopted, permits the granting of 2,700,000 shares of Celsion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1,200,000 to a total of 3,900,000 under the 2018 Plan, as amended. Prior to the adoption of the 2018 Plan, the Company had maintained the Celsion Corporation 2007 Stock Incentive Plan (the “2007 Plan”).</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2007 Plan permitted the granting of 688,531 shares of Celsion common stock as equity awards in the form of incentive stock options, nonqualified stock options, restricted stock, restricted stock units, stock appreciation rights, phantom stock, performance awards, or in any combination of the foregoing. The 2018 Plan replaced the 2007 Plan although the 2007 Plan remains in effect for awards previously granted under the 2007 Plan. Under the terms of the 2018 Plan, any shares subject to an award under the 2007 Plan which are not delivered because of the expiration, forfeiture, termination or cash settlement of the award will become available for grant under the 2018 Plan.</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19, 2019, the Compensation Committee of the Board of Directors approved the grant of (i) inducement stock options (the “Inducement Option Grants”) to purchase a total of 140,004 shares of Celsion common stock, and (ii) inducement restricted stock awards (the “Inducement Stock Grants”) totaling 13,000 shares of Celsion common stock to two new employees collectively. Each award has a grant date of the date of grant. Each Inducement Option Grant has an exercise price per share equal to $2.18 which represents the closing price of Celsion’s common stock as reported by Nasdaq on the date of grant. Each Inducement Option Grant will vest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Inducement Stock Grant will vest on the one-year anniversary of the employee’s first day of employment with the Company and are subject to the new employee’s continued service relationship with the Company through such date and is subject to the terms and conditions of the applicable restricted stock agreement.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2020, there was a total of 4,151,038 shares of Celsion common stock reserved for issuance under the 2018 Plan which were comprised of 4,146,886 shares of Celsion common stock subject to equity awards previously granted under the 2018 Plan and 2007 Plan and 4,152 shares of Celsion common stock available for future issuance under the 2018 Plan. As of March 31, 2020, there was a total of 210,006 of Celsion common stock subject to outstanding inducement awards.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cost related to stock options and restricted stock awards amounted to $451,965 and $691,145 for the three-month periods ended March 31, 2020 and 2019, respectively. Of these amounts, $177,936 and $240,387 was charged to research and development during the three-month periods ended March 31, 2020 and 2019, respectively, and $274,029 and $450,758 was charged to general and administrative expenses during the three-month periods ended March 31, 2020 and 2019,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t>As of March 31, 2020, there was $1.2 million of total unrecognized compensation cost related to non-vested stock-based compensation arrangements. That cost is expected to be recognized over a weighted-average period of 0.9 years. The weighted average grant date fair values of the stock options granted was $1.01 and $1.90 during the three-month periods ended March 31, 2020 and 2019, respectively. In connection with the Company’s annual 2019 bonus program, the Company issued 429,855 shares of common stock from the 2018 Stock Incentive Plan in lieu of paying cash for 50% of the annual bonus awards. These amounts were fully accrued for in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awards and restricted stock grants for the three-months ended March 31, 2020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vMerge w:val="restart"/>
          </w:tcPr>
          <w:p>
            <w:pPr>
              <w:ind w:left="700"/>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5"/>
            <w:vMerge w:val="restart"/>
          </w:tcPr>
          <w:p>
            <w:pPr>
              <w:jc w:val="right"/>
              <w:ind w:right="600"/>
              <w:spacing w:after="0"/>
              <w:rPr>
                <w:sz w:val="20"/>
                <w:szCs w:val="20"/>
                <w:color w:val="auto"/>
              </w:rPr>
            </w:pPr>
            <w:r>
              <w:rPr>
                <w:rFonts w:ascii="Arial" w:cs="Arial" w:eastAsia="Arial" w:hAnsi="Arial"/>
                <w:sz w:val="18"/>
                <w:szCs w:val="18"/>
                <w:b w:val="1"/>
                <w:bCs w:val="1"/>
                <w:color w:val="auto"/>
              </w:rPr>
              <w:t>Restricted Stock Awards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28"/>
        </w:trPr>
        <w:tc>
          <w:tcPr>
            <w:tcW w:w="4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gridSpan w:val="5"/>
            <w:vMerge w:val="continue"/>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98"/>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7"/>
                <w:szCs w:val="17"/>
                <w:color w:val="auto"/>
              </w:rPr>
            </w:pPr>
          </w:p>
        </w:tc>
        <w:tc>
          <w:tcPr>
            <w:tcW w:w="134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Non-vested</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Terms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Restricted</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Grant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Date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Awards</w:t>
            </w:r>
          </w:p>
        </w:tc>
        <w:tc>
          <w:tcPr>
            <w:tcW w:w="0" w:type="dxa"/>
            <w:vAlign w:val="bottom"/>
          </w:tcPr>
          <w:p>
            <w:pPr>
              <w:spacing w:after="0"/>
              <w:rPr>
                <w:sz w:val="1"/>
                <w:szCs w:val="1"/>
                <w:color w:val="auto"/>
              </w:rPr>
            </w:pPr>
          </w:p>
        </w:tc>
      </w:tr>
      <w:tr>
        <w:trPr>
          <w:trHeight w:val="241"/>
        </w:trPr>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Outstanding</w:t>
            </w: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Fair Value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outstanding at January 1, 2020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4,332,142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granted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429,855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Vested and issued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(429,855)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forfeited, cancelled or expired</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March 31, 2020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4,348,142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Aggregate intrinsic value of outstanding equity</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awards at March 31, 2020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7,875</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exercisable at March 31, 2020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2,591,536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Aggregate intrinsic value of equity awards exercisable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at March 31, 2020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83"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2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CCEEFF"/>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1"/>
                <w:szCs w:val="2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102.7%</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101.3 -106.2%</w:t>
            </w: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7.5 - 9.3</w:t>
            </w:r>
          </w:p>
        </w:tc>
      </w:t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25"/>
        </w:trPr>
        <w:tc>
          <w:tcPr>
            <w:tcW w:w="702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20</w:t>
            </w:r>
          </w:p>
        </w:tc>
        <w:tc>
          <w:tcPr>
            <w:tcW w:w="1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Earn-out Milestone Liability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2020, and December 31, 2019, the Company fair valued the earn-out milestone liability at $5.8 million and $5.7 million, respectively and recognized a non-cash charge of $0.1 million for the three-months ended March 31, 2020. In assessing the earnout milestone liability at March 31, 2020, the Company fair valued each of the two payment options per the Amended Asset Purchase Agreement and weighted them at 80% and 20% probability for the $7.0 million and the $12.4 million payments,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2019, and December 31, 2018, the Company fair valued the earn-out milestone liability at $5.8 million and $8.9 million, respectively and recognized a non-cash benefit of $3.1 million during the three months ended March 31, 2019. In assessing the earnout milestone liability at March 31, 2019, the Company fair valued each of the two payment options per the Amended Asset Purchase Agreement and weighted them at 80% and 20% probability for the $7.0 million and the $12.4 million payments,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earn-out milestone liability for the three-month period ended March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(5,717,709)</w:t>
            </w:r>
          </w:p>
        </w:tc>
      </w:tr>
      <w:tr>
        <w:trPr>
          <w:trHeight w:val="237"/>
        </w:trPr>
        <w:tc>
          <w:tcPr>
            <w:tcW w:w="9000" w:type="dxa"/>
            <w:vAlign w:val="bottom"/>
          </w:tcPr>
          <w:p>
            <w:pPr>
              <w:spacing w:after="0"/>
              <w:rPr>
                <w:sz w:val="20"/>
                <w:szCs w:val="20"/>
                <w:color w:val="auto"/>
              </w:rPr>
            </w:pPr>
            <w:r>
              <w:rPr>
                <w:rFonts w:ascii="Arial" w:cs="Arial" w:eastAsia="Arial" w:hAnsi="Arial"/>
                <w:sz w:val="18"/>
                <w:szCs w:val="18"/>
                <w:color w:val="auto"/>
              </w:rPr>
              <w:t>Non-cash loss from the change in fair value</w:t>
            </w:r>
          </w:p>
        </w:tc>
        <w:tc>
          <w:tcPr>
            <w:tcW w:w="7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(41,274)</w:t>
            </w:r>
          </w:p>
        </w:tc>
      </w:tr>
      <w:tr>
        <w:trPr>
          <w:trHeight w:val="230"/>
        </w:trPr>
        <w:tc>
          <w:tcPr>
            <w:tcW w:w="9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720" w:type="dxa"/>
            <w:vAlign w:val="bottom"/>
            <w:tcBorders>
              <w:top w:val="single" w:sz="8" w:color="auto"/>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(5,758,983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0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gridSpan w:val="5"/>
          </w:tcPr>
          <w:p>
            <w:pPr>
              <w:spacing w:after="0"/>
              <w:rPr>
                <w:sz w:val="20"/>
                <w:szCs w:val="20"/>
                <w:color w:val="auto"/>
              </w:rPr>
            </w:pPr>
            <w:r>
              <w:rPr>
                <w:rFonts w:ascii="Arial" w:cs="Arial" w:eastAsia="Arial" w:hAnsi="Arial"/>
                <w:sz w:val="18"/>
                <w:szCs w:val="18"/>
                <w:color w:val="auto"/>
                <w:w w:val="96"/>
              </w:rPr>
              <w:t>The following is a schedule of the Company’s risk-adjustment assessment of each milestone: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Risk-adjustment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2"/>
              </w:rPr>
              <w:t>Assessment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Estimated Time</w:t>
            </w:r>
          </w:p>
        </w:tc>
        <w:tc>
          <w:tcPr>
            <w:tcW w:w="0" w:type="dxa"/>
            <w:vAlign w:val="bottom"/>
          </w:tcPr>
          <w:p>
            <w:pPr>
              <w:spacing w:after="0"/>
              <w:rPr>
                <w:sz w:val="1"/>
                <w:szCs w:val="1"/>
                <w:color w:val="auto"/>
              </w:rPr>
            </w:pPr>
          </w:p>
        </w:tc>
      </w:tr>
      <w:tr>
        <w:trPr>
          <w:trHeight w:val="241"/>
        </w:trPr>
        <w:tc>
          <w:tcPr>
            <w:tcW w:w="4660" w:type="dxa"/>
            <w:vAlign w:val="bottom"/>
            <w:gridSpan w:val="2"/>
          </w:tcPr>
          <w:p>
            <w:pPr>
              <w:ind w:left="2060"/>
              <w:spacing w:after="0"/>
              <w:rPr>
                <w:sz w:val="20"/>
                <w:szCs w:val="20"/>
                <w:color w:val="auto"/>
              </w:rPr>
            </w:pPr>
            <w:r>
              <w:rPr>
                <w:rFonts w:ascii="Arial" w:cs="Arial" w:eastAsia="Arial" w:hAnsi="Arial"/>
                <w:sz w:val="18"/>
                <w:szCs w:val="18"/>
                <w:color w:val="auto"/>
              </w:rPr>
              <w:t>Date</w:t>
            </w:r>
          </w:p>
        </w:tc>
        <w:tc>
          <w:tcPr>
            <w:tcW w:w="25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of achieving each Milestone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Discount Rate</w:t>
            </w:r>
          </w:p>
        </w:tc>
        <w:tc>
          <w:tcPr>
            <w:tcW w:w="100" w:type="dxa"/>
            <w:vAlign w:val="bottom"/>
          </w:tcPr>
          <w:p>
            <w:pPr>
              <w:spacing w:after="0"/>
              <w:rPr>
                <w:sz w:val="20"/>
                <w:szCs w:val="20"/>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to Achieve</w:t>
            </w:r>
          </w:p>
        </w:tc>
        <w:tc>
          <w:tcPr>
            <w:tcW w:w="0" w:type="dxa"/>
            <w:vAlign w:val="bottom"/>
          </w:tcPr>
          <w:p>
            <w:pPr>
              <w:spacing w:after="0"/>
              <w:rPr>
                <w:sz w:val="1"/>
                <w:szCs w:val="1"/>
                <w:color w:val="auto"/>
              </w:rPr>
            </w:pPr>
          </w:p>
        </w:tc>
      </w:tr>
      <w:tr>
        <w:trPr>
          <w:trHeight w:val="216"/>
        </w:trPr>
        <w:tc>
          <w:tcPr>
            <w:tcW w:w="4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2020</w:t>
            </w:r>
          </w:p>
        </w:tc>
        <w:tc>
          <w:tcPr>
            <w:tcW w:w="2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1.04 to 2.04 years</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88"/>
              </w:rPr>
              <w:t>1.12 to 2.12 years</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March 31, 2019</w:t>
            </w: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88"/>
              </w:rPr>
              <w:t>1.00 to 2.00 years</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2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1.25 years</w:t>
            </w:r>
          </w:p>
        </w:tc>
        <w:tc>
          <w:tcPr>
            <w:tcW w:w="0" w:type="dxa"/>
            <w:vAlign w:val="bottom"/>
          </w:tcPr>
          <w:p>
            <w:pPr>
              <w:spacing w:after="0"/>
              <w:rPr>
                <w:sz w:val="1"/>
                <w:szCs w:val="1"/>
                <w:color w:val="auto"/>
              </w:rPr>
            </w:pPr>
          </w:p>
        </w:tc>
      </w:tr>
      <w:tr>
        <w:trPr>
          <w:trHeight w:val="432"/>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Note 14. Warrants</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Common Stock Warrants</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60" w:type="dxa"/>
            <w:vAlign w:val="bottom"/>
            <w:gridSpan w:val="5"/>
          </w:tcPr>
          <w:p>
            <w:pPr>
              <w:spacing w:after="0"/>
              <w:rPr>
                <w:sz w:val="20"/>
                <w:szCs w:val="20"/>
                <w:color w:val="auto"/>
              </w:rPr>
            </w:pPr>
            <w:r>
              <w:rPr>
                <w:rFonts w:ascii="Arial" w:cs="Arial" w:eastAsia="Arial" w:hAnsi="Arial"/>
                <w:sz w:val="18"/>
                <w:szCs w:val="18"/>
                <w:color w:val="auto"/>
              </w:rPr>
              <w:t>Following is a summary of all warrant activity for the three months ended March 31, 2020: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Number of Warrants</w:t>
            </w:r>
          </w:p>
        </w:tc>
        <w:tc>
          <w:tcPr>
            <w:tcW w:w="10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41"/>
        </w:trPr>
        <w:tc>
          <w:tcPr>
            <w:tcW w:w="466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7"/>
              </w:rPr>
              <w:t>Issued</w:t>
            </w:r>
          </w:p>
        </w:tc>
        <w:tc>
          <w:tcPr>
            <w:tcW w:w="100" w:type="dxa"/>
            <w:vAlign w:val="bottom"/>
          </w:tcPr>
          <w:p>
            <w:pPr>
              <w:spacing w:after="0"/>
              <w:rPr>
                <w:sz w:val="20"/>
                <w:szCs w:val="20"/>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16"/>
        </w:trPr>
        <w:tc>
          <w:tcPr>
            <w:tcW w:w="4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at December 31, 2019</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626,098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7"/>
        </w:trPr>
        <w:tc>
          <w:tcPr>
            <w:tcW w:w="7160" w:type="dxa"/>
            <w:vAlign w:val="bottom"/>
            <w:gridSpan w:val="5"/>
          </w:tcPr>
          <w:p>
            <w:pPr>
              <w:spacing w:after="0"/>
              <w:rPr>
                <w:sz w:val="20"/>
                <w:szCs w:val="20"/>
                <w:color w:val="auto"/>
              </w:rPr>
            </w:pPr>
            <w:r>
              <w:rPr>
                <w:rFonts w:ascii="Arial" w:cs="Arial" w:eastAsia="Arial" w:hAnsi="Arial"/>
                <w:sz w:val="18"/>
                <w:szCs w:val="18"/>
                <w:color w:val="auto"/>
              </w:rPr>
              <w:t>Warrants issued during the three months ended March 31, 2020 (see Note 11)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3,200,000</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660" w:type="dxa"/>
            <w:vAlign w:val="bottom"/>
            <w:gridSpan w:val="2"/>
          </w:tcPr>
          <w:p>
            <w:pPr>
              <w:spacing w:after="0"/>
              <w:rPr>
                <w:sz w:val="20"/>
                <w:szCs w:val="20"/>
                <w:color w:val="auto"/>
              </w:rPr>
            </w:pPr>
            <w:r>
              <w:rPr>
                <w:rFonts w:ascii="Arial" w:cs="Arial" w:eastAsia="Arial" w:hAnsi="Arial"/>
                <w:sz w:val="18"/>
                <w:szCs w:val="18"/>
                <w:color w:val="auto"/>
              </w:rPr>
              <w:t>Warrants outstanding at March 31, 2020</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3,826,098</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160" w:type="dxa"/>
            <w:vAlign w:val="bottom"/>
            <w:gridSpan w:val="5"/>
          </w:tcPr>
          <w:p>
            <w:pPr>
              <w:spacing w:after="0"/>
              <w:rPr>
                <w:sz w:val="20"/>
                <w:szCs w:val="20"/>
                <w:color w:val="auto"/>
              </w:rPr>
            </w:pPr>
            <w:r>
              <w:rPr>
                <w:rFonts w:ascii="Arial" w:cs="Arial" w:eastAsia="Arial" w:hAnsi="Arial"/>
                <w:sz w:val="18"/>
                <w:szCs w:val="18"/>
                <w:color w:val="auto"/>
              </w:rPr>
              <w:t>Aggregate intrinsic value of outstanding warrants at March 31, 2020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178,000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vMerge w:val="restart"/>
          </w:tcPr>
          <w:p>
            <w:pPr>
              <w:jc w:val="right"/>
              <w:ind w:right="97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Weighted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Schedule of weighted average remaining contractual terms at</w:t>
            </w:r>
          </w:p>
        </w:tc>
        <w:tc>
          <w:tcPr>
            <w:tcW w:w="2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 of Warrants</w:t>
            </w:r>
          </w:p>
        </w:tc>
        <w:tc>
          <w:tcPr>
            <w:tcW w:w="154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Average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Contractual Terms</w:t>
            </w:r>
          </w:p>
        </w:tc>
        <w:tc>
          <w:tcPr>
            <w:tcW w:w="0" w:type="dxa"/>
            <w:vAlign w:val="bottom"/>
          </w:tcPr>
          <w:p>
            <w:pPr>
              <w:spacing w:after="0"/>
              <w:rPr>
                <w:sz w:val="1"/>
                <w:szCs w:val="1"/>
                <w:color w:val="auto"/>
              </w:rPr>
            </w:pPr>
          </w:p>
        </w:tc>
      </w:tr>
      <w:tr>
        <w:trPr>
          <w:trHeight w:val="241"/>
        </w:trPr>
        <w:tc>
          <w:tcPr>
            <w:tcW w:w="508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224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Issued</w:t>
            </w:r>
          </w:p>
        </w:tc>
        <w:tc>
          <w:tcPr>
            <w:tcW w:w="1540" w:type="dxa"/>
            <w:vAlign w:val="bottom"/>
          </w:tcPr>
          <w:p>
            <w:pPr>
              <w:jc w:val="center"/>
              <w:ind w:left="290"/>
              <w:spacing w:after="0"/>
              <w:rPr>
                <w:sz w:val="20"/>
                <w:szCs w:val="20"/>
                <w:color w:val="auto"/>
              </w:rPr>
            </w:pPr>
            <w:r>
              <w:rPr>
                <w:rFonts w:ascii="Arial" w:cs="Arial" w:eastAsia="Arial" w:hAnsi="Arial"/>
                <w:sz w:val="18"/>
                <w:szCs w:val="18"/>
                <w:b w:val="1"/>
                <w:bCs w:val="1"/>
                <w:color w:val="auto"/>
                <w:w w:val="87"/>
              </w:rPr>
              <w:t>Exercise Price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4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provided to EGWU, Inc (Note 13)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200,000</w:t>
            </w:r>
          </w:p>
        </w:tc>
        <w:tc>
          <w:tcPr>
            <w:tcW w:w="154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0.01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 expiration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warrants outstanding</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3,626,098</w:t>
            </w:r>
          </w:p>
        </w:tc>
        <w:tc>
          <w:tcPr>
            <w:tcW w:w="154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1.42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Note 15. Leases</w:t>
            </w: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2011, the Company executed a lease (the “Lease”) with Brandywine Operating Partnership, L.P. (Brandywine), a Delaware limited partnership for a 10,870 square foot premises located in Lawrenceville, New Jersey and relocated its offices to Lawrenceville, New Jersey from Columbia, Maryland. The Lease had an initial term of 66 months. In late 2015, Lenox Drive Office Park LLC, purchased the real estate and office building and assumed the Lease.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Lease was set to expire on April 30, 2017. In April 2017, the Company and the landlord amended the Lease effective May 1, 2017.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extended the term of the agreement for an additional 64 months, reduced the premises to 7,565 square feet, reduced the monthly rent and</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provided four months free rent. The monthly rent ranged from approximately $18,900 in the first year to approximately $20,500 in the final year of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The Company also had a one-time option to cancel the lease as of the 40th month after the commencement date of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and must provide the landlord notice by the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month of the lease. Effective January 9, 2019, the Company amended the current terms of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to increase the size of the premises by 2,285 square feet to 9,850 square feet and also extended the lease term by one year to</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September 1, 2023. In conjunction with this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 we agreed to modify our one-time option to cancel the lease as of the end of August 2021 and we must provide notice to the landlord by the end of August 2020. The monthly rent will range from approximately $25,035 in the first year to approximately $27,088 in the final year of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EGEN Asset Purchase Agreement in June 2014, the Company assumed the existing lease with another landlord for an 11,500 square foot premises located in Huntsville Alabama. In January 2018, the Company and the Huntsville landlord entered into a new 60-month lease which reduced the premises to 9,049 square feet with rent payments of approximately $18,100 per month.</w:t>
      </w:r>
    </w:p>
    <w:p>
      <w:pPr>
        <w:spacing w:after="0" w:line="18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adopted ASC Topic 842 on January 1, 2019 using the modified retrospective transition method for all lease arrangements at the beginning of the period of adoption. Results for reporting periods beginning January 1, 2019 are presented under ASC 842, while prior period amounts were not adjusted and continue to be reported in accordance with our historic accounting under Topic 840, Leases. The standard had a material impact on our Condensed Consolidated Balance Sheet but had no impact on our condensed consolidated net earnings and cash flows. The most significant impact of adopting ASC Topic 842 was the recognition of the right-of-use (ROU) asset and lease liabilities for operating leases, which are presented in the following three-line items on the Consolidated Condensed Balance Sheet: (i) operating lease right-of-use asset; (ii) current operating lease liabilities; and (iii) operating lease liabilities. Therefore, on date of adoption of ASC Topic 842, the Company recognized a ROU asset of $1.4 million, operating lease liabilities, current and non-current collectively, of $1.5 million and reduced other liabilities by approximately $0.1 million. We elected the package of practical expedients for leases that commenced before the effective date of ASC Topic 842 whereby we elected to not reassess the following: (i) whether any expired or existing contracts contain leases; (ii) the lease classification for any expired or existing leases; and (iii) initial direct costs for any existing leases. In addition, we have lease agreements with lease and non-lease components, and we have elected the practical expedient for all underlying asset classes and account for them as a single lease component. We have no finance leases. We determine if an arrangement is a lease at inception. We have operating leases for office space and research and development facilities. Neither of our leases include options to renew, however, one contains an option for early termination. We considered the option of early termination in measurement of right-of-use assets and lease liabilities and we determined it is not reasonably certain to be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terminated. In connection with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 for the New Jersey office lease in January 2019, the Company considered this as one modified lease and not as two separate leases. Therefore, in January 2019, the Company determined this lease was an operating lease and remeasured the ROU asset and lease liability. Therefore, the Company increased the ROU asset and operating lease liabilities by $0.4 million to $1.8 million and $1.9 million,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w w:val="97"/>
              </w:rPr>
              <w:t>Following is a table of the lease payments and maturity of our operating lease liabilities as of March 31, 2020:</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8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year ending</w:t>
            </w:r>
          </w:p>
        </w:tc>
      </w:tr>
      <w:tr>
        <w:trPr>
          <w:trHeight w:val="241"/>
        </w:trPr>
        <w:tc>
          <w:tcPr>
            <w:tcW w:w="8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395,178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530,734</w:t>
            </w:r>
          </w:p>
        </w:tc>
        <w:tc>
          <w:tcPr>
            <w:tcW w:w="14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535,579</w:t>
            </w:r>
          </w:p>
        </w:tc>
        <w:tc>
          <w:tcPr>
            <w:tcW w:w="14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233,117</w:t>
            </w:r>
          </w:p>
        </w:tc>
        <w:tc>
          <w:tcPr>
            <w:tcW w:w="140" w:type="dxa"/>
            <w:vAlign w:val="bottom"/>
          </w:tcPr>
          <w:p>
            <w:pPr>
              <w:spacing w:after="0"/>
              <w:rPr>
                <w:sz w:val="18"/>
                <w:szCs w:val="18"/>
                <w:color w:val="auto"/>
              </w:rPr>
            </w:pPr>
          </w:p>
        </w:tc>
      </w:tr>
      <w:tr>
        <w:trPr>
          <w:trHeight w:val="25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r>
      <w:tr>
        <w:trPr>
          <w:trHeight w:val="203"/>
        </w:trPr>
        <w:tc>
          <w:tcPr>
            <w:tcW w:w="84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Subtotal future lease payments</w:t>
            </w:r>
          </w:p>
        </w:tc>
        <w:tc>
          <w:tcPr>
            <w:tcW w:w="5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1,694,608</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5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(255,694)</w:t>
            </w:r>
          </w:p>
        </w:tc>
      </w:tr>
      <w:tr>
        <w:trPr>
          <w:trHeight w:val="210"/>
        </w:trPr>
        <w:tc>
          <w:tcPr>
            <w:tcW w:w="84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lease liabilities</w:t>
            </w:r>
          </w:p>
        </w:tc>
        <w:tc>
          <w:tcPr>
            <w:tcW w:w="50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1,438,914</w:t>
            </w: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r>
      <w:tr>
        <w:trPr>
          <w:trHeight w:val="216"/>
        </w:trPr>
        <w:tc>
          <w:tcPr>
            <w:tcW w:w="8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6"/>
        </w:trPr>
        <w:tc>
          <w:tcPr>
            <w:tcW w:w="8460" w:type="dxa"/>
            <w:vAlign w:val="bottom"/>
          </w:tcPr>
          <w:p>
            <w:pPr>
              <w:spacing w:after="0"/>
              <w:rPr>
                <w:sz w:val="20"/>
                <w:szCs w:val="20"/>
                <w:color w:val="auto"/>
              </w:rPr>
            </w:pPr>
            <w:r>
              <w:rPr>
                <w:rFonts w:ascii="Arial" w:cs="Arial" w:eastAsia="Arial" w:hAnsi="Arial"/>
                <w:sz w:val="18"/>
                <w:szCs w:val="18"/>
                <w:color w:val="auto"/>
              </w:rPr>
              <w:t>Weighted average remaining life</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3"/>
          </w:tcPr>
          <w:p>
            <w:pPr>
              <w:jc w:val="right"/>
              <w:ind w:right="160"/>
              <w:spacing w:after="0"/>
              <w:rPr>
                <w:sz w:val="20"/>
                <w:szCs w:val="20"/>
                <w:color w:val="auto"/>
              </w:rPr>
            </w:pPr>
            <w:r>
              <w:rPr>
                <w:rFonts w:ascii="Arial" w:cs="Arial" w:eastAsia="Arial" w:hAnsi="Arial"/>
                <w:sz w:val="18"/>
                <w:szCs w:val="18"/>
                <w:color w:val="auto"/>
              </w:rPr>
              <w:t>3.2 years</w:t>
            </w:r>
          </w:p>
        </w:tc>
      </w:tr>
      <w:tr>
        <w:trPr>
          <w:trHeight w:val="216"/>
        </w:trPr>
        <w:tc>
          <w:tcPr>
            <w:tcW w:w="8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43"/>
        </w:trPr>
        <w:tc>
          <w:tcPr>
            <w:tcW w:w="84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9.98%</w:t>
            </w:r>
          </w:p>
        </w:tc>
      </w:tr>
      <w:tr>
        <w:trPr>
          <w:trHeight w:val="20"/>
        </w:trPr>
        <w:tc>
          <w:tcPr>
            <w:tcW w:w="8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three-month period ending March 31, 2020, operating lease expense was $130,595 and cash paid for operating leases included in operating cash flows was $130,631. For the three-month period ending March 31, 2019, operating lease expense was $130,595 and cash paid for operating leases included in operating cash flows was $106,000.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Technology Development and Licensing Agreements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7, 2012, the Company entered into a long-term commercial supply agreement with Zhejiang Hisun Pharmaceutical Co. Ltd. (Hisun) for the production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the manufacture of ThermoDox</w:t>
      </w:r>
      <w:r>
        <w:rPr>
          <w:rFonts w:ascii="Arial" w:cs="Arial" w:eastAsia="Arial" w:hAnsi="Arial"/>
          <w:sz w:val="26"/>
          <w:szCs w:val="26"/>
          <w:color w:val="auto"/>
          <w:vertAlign w:val="superscript"/>
        </w:rPr>
        <w:t>®</w:t>
      </w:r>
      <w:r>
        <w:rPr>
          <w:rFonts w:ascii="Arial" w:cs="Arial" w:eastAsia="Arial" w:hAnsi="Arial"/>
          <w:sz w:val="16"/>
          <w:szCs w:val="16"/>
          <w:color w:val="auto"/>
        </w:rPr>
        <w:t>. Celsion will repay Hisun for the aggregate amount of these development costs and fees commencing on the successful completion of three registration batches of ThermoDox</w:t>
      </w:r>
      <w:r>
        <w:rPr>
          <w:rFonts w:ascii="Arial" w:cs="Arial" w:eastAsia="Arial" w:hAnsi="Arial"/>
          <w:sz w:val="26"/>
          <w:szCs w:val="26"/>
          <w:color w:val="auto"/>
          <w:vertAlign w:val="superscript"/>
        </w:rPr>
        <w:t>®</w:t>
      </w:r>
      <w:r>
        <w:rPr>
          <w:rFonts w:ascii="Arial" w:cs="Arial" w:eastAsia="Arial" w:hAnsi="Arial"/>
          <w:sz w:val="16"/>
          <w:szCs w:val="16"/>
          <w:color w:val="auto"/>
        </w:rPr>
        <w:t>. Hisun is also obligated to certain performance requirements under the agreement. The agreement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will initially be limited to a percentage of the production requirements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with Hisun retaining an option for additional global supply after local regulatory approval in the China territory. In addition, Hisun will collaborate with Celsion around the regulatory approval</w:t>
      </w:r>
    </w:p>
    <w:p>
      <w:pPr>
        <w:jc w:val="both"/>
        <w:spacing w:after="0" w:line="228" w:lineRule="auto"/>
        <w:rPr>
          <w:sz w:val="20"/>
          <w:szCs w:val="20"/>
          <w:color w:val="auto"/>
        </w:rPr>
      </w:pPr>
      <w:r>
        <w:rPr>
          <w:rFonts w:ascii="Arial" w:cs="Arial" w:eastAsia="Arial" w:hAnsi="Arial"/>
          <w:sz w:val="18"/>
          <w:szCs w:val="18"/>
          <w:color w:val="auto"/>
        </w:rPr>
        <w:t>activities for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with the China State Food and Drug Administration (CHINA FDA). During the first quarter of 2015, Hisun completed the successful manufacture of three registration batches of ThermoDox</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8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 which include the sub-group analysis of patients in the Phase III HEAT Study for the hepatocellular carcinoma clinical indication</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other activities to further the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w:t>
      </w:r>
    </w:p>
    <w:p>
      <w:pPr>
        <w:jc w:val="both"/>
        <w:ind w:right="20"/>
        <w:spacing w:after="0" w:line="209" w:lineRule="auto"/>
        <w:rPr>
          <w:sz w:val="20"/>
          <w:szCs w:val="20"/>
          <w:color w:val="auto"/>
        </w:rPr>
      </w:pPr>
      <w:r>
        <w:rPr>
          <w:rFonts w:ascii="Arial" w:cs="Arial" w:eastAsia="Arial" w:hAnsi="Arial"/>
          <w:sz w:val="18"/>
          <w:szCs w:val="18"/>
          <w:color w:val="auto"/>
        </w:rPr>
        <w:t>time as the parties find a mutually acceptable path forward on the development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spacing w:after="0" w:line="231" w:lineRule="auto"/>
        <w:rPr>
          <w:sz w:val="20"/>
          <w:szCs w:val="20"/>
          <w:color w:val="auto"/>
        </w:rPr>
      </w:pPr>
      <w:r>
        <w:rPr>
          <w:rFonts w:ascii="Arial" w:cs="Arial" w:eastAsia="Arial" w:hAnsi="Arial"/>
          <w:sz w:val="18"/>
          <w:szCs w:val="18"/>
          <w:color w:val="auto"/>
        </w:rPr>
        <w:t xml:space="preserve">On July 19, 2013, the Company and Hisun entered into a Memorandum of Understanding to pursue ongoing cooperation for the continued clinical development of ThermoDox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the technology transfer relating to the commercial manufacture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China territory. This expanded level of cooperation includes development of the next generation liposomal formulation with the goal of creating safer, more efficacious versions of marketed cancer chemotherapeutics.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660" w:hanging="652"/>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internal resources necessary to complete the technology transfer of the Company’s proprietary manufacturing process and the production of registration batches for the China territory;</w:t>
      </w:r>
    </w:p>
    <w:p>
      <w:pPr>
        <w:spacing w:after="0" w:line="173" w:lineRule="exact"/>
        <w:rPr>
          <w:rFonts w:ascii="Arial" w:cs="Arial" w:eastAsia="Arial" w:hAnsi="Arial"/>
          <w:sz w:val="18"/>
          <w:szCs w:val="18"/>
          <w:b w:val="1"/>
          <w:bCs w:val="1"/>
          <w:color w:val="auto"/>
        </w:rPr>
      </w:pPr>
    </w:p>
    <w:p>
      <w:pPr>
        <w:ind w:left="660" w:hanging="652"/>
        <w:spacing w:after="0" w:line="186" w:lineRule="auto"/>
        <w:tabs>
          <w:tab w:leader="none" w:pos="660" w:val="left"/>
        </w:tabs>
        <w:numPr>
          <w:ilvl w:val="0"/>
          <w:numId w:val="5"/>
        </w:numPr>
        <w:rPr>
          <w:rFonts w:ascii="Arial" w:cs="Arial" w:eastAsia="Arial" w:hAnsi="Arial"/>
          <w:sz w:val="36"/>
          <w:szCs w:val="36"/>
          <w:b w:val="1"/>
          <w:bCs w:val="1"/>
          <w:color w:val="auto"/>
          <w:vertAlign w:val="superscript"/>
        </w:rPr>
      </w:pPr>
      <w:r>
        <w:rPr>
          <w:rFonts w:ascii="Arial" w:cs="Arial" w:eastAsia="Arial" w:hAnsi="Arial"/>
          <w:sz w:val="18"/>
          <w:szCs w:val="18"/>
          <w:color w:val="auto"/>
        </w:rPr>
        <w:t>Hisun will coordinate with the Company around the clinical and regulatory approval activities for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other liposomal formations with the CHINA FDA; and</w:t>
      </w:r>
    </w:p>
    <w:p>
      <w:pPr>
        <w:spacing w:after="0" w:line="207" w:lineRule="exact"/>
        <w:rPr>
          <w:rFonts w:ascii="Arial" w:cs="Arial" w:eastAsia="Arial" w:hAnsi="Arial"/>
          <w:sz w:val="36"/>
          <w:szCs w:val="36"/>
          <w:b w:val="1"/>
          <w:bCs w:val="1"/>
          <w:color w:val="auto"/>
          <w:vertAlign w:val="superscript"/>
        </w:rPr>
      </w:pPr>
    </w:p>
    <w:p>
      <w:pPr>
        <w:ind w:left="660" w:hanging="652"/>
        <w:spacing w:after="0" w:line="186" w:lineRule="auto"/>
        <w:tabs>
          <w:tab w:leader="none" w:pos="660" w:val="left"/>
        </w:tabs>
        <w:numPr>
          <w:ilvl w:val="0"/>
          <w:numId w:val="5"/>
        </w:numPr>
        <w:rPr>
          <w:rFonts w:ascii="Arial" w:cs="Arial" w:eastAsia="Arial" w:hAnsi="Arial"/>
          <w:sz w:val="36"/>
          <w:szCs w:val="36"/>
          <w:b w:val="1"/>
          <w:bCs w:val="1"/>
          <w:color w:val="auto"/>
          <w:vertAlign w:val="superscript"/>
        </w:rPr>
      </w:pPr>
      <w:r>
        <w:rPr>
          <w:rFonts w:ascii="Arial" w:cs="Arial" w:eastAsia="Arial" w:hAnsi="Arial"/>
          <w:sz w:val="18"/>
          <w:szCs w:val="18"/>
          <w:color w:val="auto"/>
        </w:rPr>
        <w:t xml:space="preserve">Hisun will be granted a right of </w:t>
      </w:r>
      <w:r>
        <w:rPr>
          <w:rFonts w:ascii="Arial" w:cs="Arial" w:eastAsia="Arial" w:hAnsi="Arial"/>
          <w:sz w:val="18"/>
          <w:szCs w:val="18"/>
          <w:i w:val="1"/>
          <w:iCs w:val="1"/>
          <w:color w:val="auto"/>
        </w:rPr>
        <w:t>first</w:t>
      </w:r>
      <w:r>
        <w:rPr>
          <w:rFonts w:ascii="Arial" w:cs="Arial" w:eastAsia="Arial" w:hAnsi="Arial"/>
          <w:sz w:val="18"/>
          <w:szCs w:val="18"/>
          <w:color w:val="auto"/>
        </w:rPr>
        <w:t xml:space="preserve"> offer for a commercial license to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sale and distribution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the China territory.</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8, 2016, we signed a Technology Transfer, Manufacturing and Commercial Supply Agreement (“GEN-1 Agreement”) with Hisun to pursue an expanded partnership for the technology transfer relating to the clinical and commercial manufacture and supply of GEN- 1, Celsion’s proprietary gene mediated, IL- 12 immunotherapy, for the greater China territory, with the option to expand into other countries in the rest of the world after all necessary regulatory approvals are in effect. The GEN- 1 Agreement will help to support supply for both ongoing and planned clinical studies in the U.S., and for potential future studies of GEN- 1 in China. GEN- 1 is currently being evaluated by Celsion in first line ovarian cancer patients.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660" w:right="2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70" w:lineRule="exact"/>
        <w:rPr>
          <w:rFonts w:ascii="Arial" w:cs="Arial" w:eastAsia="Arial" w:hAnsi="Arial"/>
          <w:sz w:val="18"/>
          <w:szCs w:val="18"/>
          <w:b w:val="1"/>
          <w:bCs w:val="1"/>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225"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70" w:lineRule="exact"/>
        <w:rPr>
          <w:rFonts w:ascii="Arial" w:cs="Arial" w:eastAsia="Arial" w:hAnsi="Arial"/>
          <w:sz w:val="18"/>
          <w:szCs w:val="18"/>
          <w:b w:val="1"/>
          <w:bCs w:val="1"/>
          <w:color w:val="auto"/>
        </w:rPr>
      </w:pPr>
    </w:p>
    <w:p>
      <w:pPr>
        <w:ind w:left="660" w:right="2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CHINA FDA for site approval; and</w:t>
      </w:r>
    </w:p>
    <w:p>
      <w:pPr>
        <w:spacing w:after="0" w:line="170"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GEN-1 with the CHINA FDA. A local China partner affords Celsion access to accelerated CHINA FDA review and potential regulatory exclusivity for the approved indication.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evaluated the Hisun arrangement in accordance with ASC 606 and determined that its performance obligations under the agreement include the non-exclusive, royalty-free license, research and development services to be provided by the Company, and its obligation to serve on a joint committee. The Company concluded that the license was not distinct since its value is closely tied to the ongoing research and development activities. As such, the license and the research and development services are bundled as a single performance obligation. Since the provision of the license and research and development services are considered a single performance obligation, the $5,000,000 upfront payment is being recognized as revenue ratably through 2022.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20, 2019, a purported stockholder of the Company filed a derivative and putative class action lawsuit against the Company and certain officers and directors (the “Shareholder Action”). The Shareholder Action alleges breaches of fiduciary duty in connection with the shareholder approval process associated with the 2018 Stock Incentive Plan. The matter is in the early stages and the ultimate outcome of this matter is not currently determinable at this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more fully discussed in Note 3, the Company completed the sale of its State of New Jersey net operating loss and received the $1.8 million in proceeds from the sale in April 2020.</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23, 2020, we filed a Current Report on Form 8-K announcing we entered into a loan agreement with Silicon Valley Bank (the “PPP Loan”), pursuant to the Paycheck Protection Program of the Coronavirus Aid, Relief, and Economic Security Act. We thereafter received proceeds of $632,220 under the PPP Loan. The PPP Loan application required Celsion to certify that there was economic uncertainty surrounding the Company and that, as such, the PPP Loan was necessary to support our ongoing operations. Celsion made this certification in good faith after analyzing, among other things, its financial situation and access to alternative forms of capital, and believes that the Company satisfied all eligibility criteria for the PPP Loan, and that our receipt of the PPP Loan proceeds was consistent with the broad objectives of the PPP of the CARES Act. The certification given with respect to the PPP Loan does not contain any objective criteria and is subject to interpretation. In light of subsequent guidance issued by the U.S. Small Business Administration in consultation with the U.S. Department of the Treasury, out of an abundance of caution we returned the proceeds of the PPP Loan in full on May 13, 2020. Celsion may choose to reapply for the loan if the SBA provides future applicable guidance.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disclosed in Note 10, the Company and Horizon agreed to defer the first two principal payments totaling a $833,333 due in August and September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the Company’s Annual Report on Form 10-K for the fiscal year ended December 31, 2019 filed with the SEC on March 25, 2020,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Celsion is a fully integrated development clinical stage oncology drug company focused on advancing innovative cancer treatments, including directed chemotherapies, DNA-mediated immunotherapy and RNA based therapies. Our lead product candidate is ThermoDox®, a proprietary heat-activated liposomal encapsulation of doxorubicin, currently in a Phase III clinical trial for the treatment of primary liver cancer (the “OPTIMA Study”). Second in our pipeline is GEN-1, a DNA-mediated immunotherapy for the localized treatment of ovarian cancer. These investigational products are based on technologies that provide the platform for the future development of a range of therapeutics for difficult-to-treat forms of cancer. The first technology is Lysolipid Thermally Sensitive Liposomes, a heat sensitive liposomal based dosage form that targets disease with known chemotherapeutics in the presence of mild heat. The second technology is TheraPlas, a novel nucleic acid-based treatment for local transfection of therapeutic DNA plasmids. With these technologies we are working to develop and commercialize more efficient, effective and targeted oncology therapies that maximize efficacy while minimizing side effects common to cancer treatments.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ThermoDox®</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ThermoDox® is being evaluated in a Phase III clinical trial for primary liver cancer, which we call the OPTIMA Study, which was initiated in 2014. ThermoDox®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The OPTIMA Study. </w:t>
      </w:r>
      <w:r>
        <w:rPr>
          <w:rFonts w:ascii="Arial" w:cs="Arial" w:eastAsia="Arial" w:hAnsi="Arial"/>
          <w:sz w:val="18"/>
          <w:szCs w:val="18"/>
          <w:color w:val="auto"/>
        </w:rPr>
        <w:t>The OPTIMA Study represents an evaluation of ThermoDox® in combination with a first line therapy, RFA, for newly diagnosed,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intermediate stage HCC patients. HCC incidence globally is approximately 755,000 new cases per year and is the third largest cancer indication globally. Approximately 30% of newly diagnosed patients can be addressed with RFA.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2014, we announced that the United States Food and Drug Administration (the “FDA”) provided clearance for the OPTIMA Study, which is a pivotal, double-blind, placebo-controlled Phase III trial of ThermoDox®, in combination with standardized RFA, for the treatment of primary liver cancer. The trial design of the OPTIMA Study is based on the comprehensive analysis of data from an earlier clinical trial called the HEAT Study (the “HEAT Study”). The OPTIMA Study is supported by a hypothesis developed from an overall survival analysis of a large subgroup of patients from the HEAT Study.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Post-hoc data analysis from our earlier Phase III HEAT Study suggest that ThermoDox®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group has been reached which translates into a two-year survival benefit over the optimized RFA group (projected to be greater than 80 months for the ThermoDox® plus optimized RFA group compared to less than 60 months projection for the optimized RFA only group).</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unequivocally indicate that longer RFA heating times correlate with significant increases in doxorubicin concentration around the RFA treated tissue. In addition, we conducted a prospective preclinical study in 22 pigs using two different manufacturers of RFA and human equivalent doses of ThermoDox® that clearly support the relationship between increased heating duration and doxorubicin concentrations.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OPTIMA Study was designed with extensive input from globally recognized HCC researchers and expert clinicians and after receiving formal written feedback from the FDA. The OPTIMA Study was designed to enroll up to 550 patients globally at approximately 65 clinical sites in the U.S., Canada, European Union (EU), China and other countries in the Asia-Pacific region and will evaluate ThermoDox® in combination with standardized RFA, which will require a minimum of 45 minutes across all investigators and clinical sites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 (“DMC”).</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completed enrollment of 556 patients in the Phase III OPTIMA Study in August 2018. Data for the study will be reviewed as it matures with two pre-planned interim analyses to be conducted in the fourth quarter of 2019 and in the first half of 2020. We expect that the final efficacy analysis, if necessary, will be completed in the first quarter of 2021. If the study proves to provide a clinically meaningful improvement in overall survival, Celsion will immediately apply for marketing authorization in the US, Europe and China. ThermoDox® has received U.S. FDA Fast Track Designation and has been granted orphan drug designation for primary liver cancer in both the U.S. and the EU. Additionally, the U.S. FDA has provided ThermoDox® with a 505(b)(2) registration pathway. Subject to a successful trial, the OPTIMA Study has been designed to support registration in all key primary liver cancer markets. We fully expect to submit registrational applications in the U.S., Europe and China. We expect to submit and believes that applications will be accepted in South Korea, Taiwan and Vietnam, three other significant markets for ThermoDox® if it were to receive approval in Europe, China or the U.S.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spacing w:after="0" w:line="254" w:lineRule="auto"/>
        <w:rPr>
          <w:sz w:val="20"/>
          <w:szCs w:val="20"/>
          <w:color w:val="auto"/>
        </w:rPr>
      </w:pPr>
      <w:r>
        <w:rPr>
          <w:rFonts w:ascii="Arial" w:cs="Arial" w:eastAsia="Arial" w:hAnsi="Arial"/>
          <w:sz w:val="18"/>
          <w:szCs w:val="18"/>
          <w:color w:val="auto"/>
        </w:rPr>
        <w:t>On December 18, 2018, we announced that the DMC for the OPTIMA Study completed its last scheduled review of all patients enrolled in the trial and unanimously recommended that the OPTIMA Study continue according to protocol to its final data readout. The DMC’s recommendation was based on the Committee’s assessment of safety and data integrity of all patients randomized in the trial as of October 4, 2018. The DMC reviewed study data at regular intervals throughout the patient enrollment period, with the primary responsibilities of ensuring the safety of all patients enrolled in the study, the quality of the data collected, and the continued scientific validity of the study design. As part of its review of all 556 patients enrolled into the trial, the DMC evaluated a quality matrix relating to the total clinical data set, confirming the timely collection of data, that all data are current as well as other data collection and quality criteria.</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5, 2019, the Company announced that the prescribed number of OS events had been reached for the first prespecified interim analysis of the OPTIMA Phase III Study. Following preparation of the data, the first interim analysis was conducted by the DMC on November 1, 2019. This timeline was consistent with the Company’s stated expectations and is necessary to provide a full and comprehensive data set that may represent the potential for a successful trial outcome. In accordance with the statistical plan, this initial interim analysis has a target of 118 events, or 60% of the total number required for the final analysis. At the time of the data cutoff, the Company received reports of 128 events. The hazard ratio for success at 128 events is approximately 0.63, which represents a 37% reduction in the risk of death compared with RFA alone and is consistent with the 0.65 hazard ratio that was observed in the prospective HEAT Study subgroup, which demonstrated a two-year overall survival advantage and a median time to death of more than seven and a half years.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4, 2019, the Company announced that the DMC unanimously recommended the OPTIMA Study continue according to protocol. The recommendation was based on a review of blinded safety and data integrity from 556 patients enrolled in the Company’s multinational, double-blind, placebo-controlled pivotal Phase III OPTIMA Study. The DMC’s pre-planned interim efficacy review followed 128 patient events, or deaths, which occurred in August 2019. Data presented demonstrated that PFS and OS data appear to be tracking with patient data observed at a similar point in the Company’s subgroup of patients followed prospectively in the earlier Phase III HEAT Study, upon which the OPTIMA Study is based.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data review demonstrated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OPTIMA Study patient demographics and risk factors are consistent with what the Company observed in the HEAT Study subgroup with all data quality metrics meeting expectations.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Median PFS for the OPTIMA Study reached 17 months as of August 2019. These blinded data compare favorably with 16 months median PFS for all 285 patients in the HEAT Study subgroup of patients treated with RFA &gt;45 minutes.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Median OS for the OPTIMA Study has not been reached as of August 5, 2019, however median OS appears to be consistent with the HEAT Study subgroup of patients treated with RFA &gt;45 minutes and followed prospectively for overall survival.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OPTIMA Study has lost only 4 patients to follow-up from the initiation of the trial in September 2014 through August 2019 while the trial design allows for 3% risk for loss per year, which at this point would have exceeded 60 patients.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Company has not unblinded the study to report a hazard ratio, PFS and OS are tracking similarly to the subgroup of patients who received more than 45 minutes of RFA in our HEAT Study and followed prospectively for more than three years. This subgroup in the HEAT Study demonstrated a 2-year overall survival advantage and a median time to death of more than 7 ½ years. This tracking appears to bode well for success at the second of two pre-planned interim efficacy analysis, which is intended after a minimum of 158 patient deaths and is projected to occur during the second quarter of 2020. The hazard ratio for success at 158 events is 0.70. This is below the hazard ratio of 0.65 observed in the HEAT Study subgroup of patients treated with RFA &gt; 45 minutes.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both"/>
        <w:spacing w:after="0" w:line="275" w:lineRule="auto"/>
        <w:rPr>
          <w:sz w:val="20"/>
          <w:szCs w:val="20"/>
          <w:color w:val="auto"/>
        </w:rPr>
      </w:pPr>
      <w:r>
        <w:rPr>
          <w:rFonts w:ascii="Arial" w:cs="Arial" w:eastAsia="Arial" w:hAnsi="Arial"/>
          <w:sz w:val="17"/>
          <w:szCs w:val="17"/>
          <w:color w:val="auto"/>
        </w:rPr>
        <w:t>On April 15, 2020, the Company announced that the prescribed minimum number of events of 158 patient deaths has been reached for the second pre-specified interim analysis of the OPTIMA Phase III Study. Following preparation of the data, the Independent Data Monitoring Committee (iDMC) is expected to meet in July to conduct the second interim analysis. Celsion expects to announce iDMC recommendations as soon as possible after the meeting. The hazard ratio for success at 158 deaths is 0.70, which represents a 30% reduction in the risk of death compared with RFA alone. This compares favorably with the hazard ratio of 0.65 observed in the prospective HEAT Study subgroup upon which the OPTIMA Study is based.</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August 13, 2019, the Company announced that results from an independent analysis of the Company’s ThermoDox</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HEAT Study conducted by the National Institutes of Health (NIH) were published in the peer-reviewed publication, </w:t>
      </w:r>
      <w:r>
        <w:rPr>
          <w:rFonts w:ascii="Arial" w:cs="Arial" w:eastAsia="Arial" w:hAnsi="Arial"/>
          <w:sz w:val="16"/>
          <w:szCs w:val="16"/>
          <w:i w:val="1"/>
          <w:iCs w:val="1"/>
          <w:color w:val="auto"/>
        </w:rPr>
        <w:t>Journal of Vascular and Interventional Radiology</w:t>
      </w:r>
      <w:r>
        <w:rPr>
          <w:rFonts w:ascii="Arial" w:cs="Arial" w:eastAsia="Arial" w:hAnsi="Arial"/>
          <w:sz w:val="16"/>
          <w:szCs w:val="16"/>
          <w:color w:val="auto"/>
        </w:rPr>
        <w:t>. The analysis was conducted by the intramural research program of the NIH and the NIH Center for Interventional Oncology (CIO), with the full data set from the Company’s HEAT Study. The analysis evaluated the full data set to determine if there was a correlation between baseline tumor volume and radiofrequency ablation</w:t>
      </w:r>
    </w:p>
    <w:p>
      <w:pPr>
        <w:jc w:val="both"/>
        <w:spacing w:after="0" w:line="221" w:lineRule="auto"/>
        <w:rPr>
          <w:sz w:val="20"/>
          <w:szCs w:val="20"/>
          <w:color w:val="auto"/>
        </w:rPr>
      </w:pPr>
      <w:r>
        <w:rPr>
          <w:rFonts w:ascii="Arial" w:cs="Arial" w:eastAsia="Arial" w:hAnsi="Arial"/>
          <w:sz w:val="18"/>
          <w:szCs w:val="18"/>
          <w:color w:val="auto"/>
        </w:rPr>
        <w:t>(RFA) heating time (minutes/tumor volume in milliliters), with or without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treatment, for patients with HCC. The NIH analysis was conducted under the direction of Dr. Bradford Wood, MD, Director, NIH Center for Interventional Oncology and Chief, NIH Clinical Center Interventional Radiology.</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article titled, “</w:t>
      </w:r>
      <w:r>
        <w:rPr>
          <w:rFonts w:ascii="Arial" w:cs="Arial" w:eastAsia="Arial" w:hAnsi="Arial"/>
          <w:sz w:val="16"/>
          <w:szCs w:val="16"/>
          <w:i w:val="1"/>
          <w:iCs w:val="1"/>
          <w:color w:val="auto"/>
        </w:rPr>
        <w:t>RFA Duration Per Tumor Volume May Correlate With Overall Survival in Solitary Hepatocellular Carcinoma Patients Treated With RFA</w:t>
      </w:r>
      <w:r>
        <w:rPr>
          <w:rFonts w:ascii="Arial" w:cs="Arial" w:eastAsia="Arial" w:hAnsi="Arial"/>
          <w:sz w:val="16"/>
          <w:szCs w:val="16"/>
          <w:color w:val="auto"/>
        </w:rPr>
        <w:t xml:space="preserve"> </w:t>
      </w:r>
      <w:r>
        <w:rPr>
          <w:rFonts w:ascii="Arial" w:cs="Arial" w:eastAsia="Arial" w:hAnsi="Arial"/>
          <w:sz w:val="16"/>
          <w:szCs w:val="16"/>
          <w:i w:val="1"/>
          <w:iCs w:val="1"/>
          <w:color w:val="auto"/>
        </w:rPr>
        <w:t>Plus Lyso-thermosensitive Liposomal Doxorubicin</w:t>
      </w:r>
      <w:r>
        <w:rPr>
          <w:rFonts w:ascii="Arial" w:cs="Arial" w:eastAsia="Arial" w:hAnsi="Arial"/>
          <w:sz w:val="16"/>
          <w:szCs w:val="16"/>
          <w:color w:val="auto"/>
        </w:rPr>
        <w:t>,” discussed the NIH analysis of results from 437 patients in the HEAT Study (all patients with a single</w:t>
      </w:r>
      <w:r>
        <w:rPr>
          <w:rFonts w:ascii="Arial" w:cs="Arial" w:eastAsia="Arial" w:hAnsi="Arial"/>
          <w:sz w:val="16"/>
          <w:szCs w:val="16"/>
          <w:i w:val="1"/>
          <w:iCs w:val="1"/>
          <w:color w:val="auto"/>
        </w:rPr>
        <w:t xml:space="preserve"> </w:t>
      </w:r>
      <w:r>
        <w:rPr>
          <w:rFonts w:ascii="Arial" w:cs="Arial" w:eastAsia="Arial" w:hAnsi="Arial"/>
          <w:sz w:val="16"/>
          <w:szCs w:val="16"/>
          <w:color w:val="auto"/>
        </w:rPr>
        <w:t>lesion representing 62.4% of the study population). The key finding was that increased RFA heating time per tumor volume significantly improved overall</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survival (OS) in patients with single-lesion HCC who were treated with RFA plus ThermoDox</w:t>
      </w:r>
      <w:r>
        <w:rPr>
          <w:rFonts w:ascii="Arial" w:cs="Arial" w:eastAsia="Arial" w:hAnsi="Arial"/>
          <w:sz w:val="26"/>
          <w:szCs w:val="26"/>
          <w:color w:val="auto"/>
          <w:vertAlign w:val="superscript"/>
        </w:rPr>
        <w:t>®</w:t>
      </w:r>
      <w:r>
        <w:rPr>
          <w:rFonts w:ascii="Arial" w:cs="Arial" w:eastAsia="Arial" w:hAnsi="Arial"/>
          <w:sz w:val="16"/>
          <w:szCs w:val="16"/>
          <w:color w:val="auto"/>
        </w:rPr>
        <w:t>, compared to patients treated with RFA alone. A one-unit increase in RFA duration per tumor volume was shown to result in about a 20% improvement in OS for patients administered ThermoDox</w:t>
      </w:r>
      <w:r>
        <w:rPr>
          <w:rFonts w:ascii="Arial" w:cs="Arial" w:eastAsia="Arial" w:hAnsi="Arial"/>
          <w:sz w:val="26"/>
          <w:szCs w:val="26"/>
          <w:color w:val="auto"/>
          <w:vertAlign w:val="superscript"/>
        </w:rPr>
        <w:t>®</w:t>
      </w:r>
      <w:r>
        <w:rPr>
          <w:rFonts w:ascii="Arial" w:cs="Arial" w:eastAsia="Arial" w:hAnsi="Arial"/>
          <w:sz w:val="16"/>
          <w:szCs w:val="16"/>
          <w:color w:val="auto"/>
        </w:rPr>
        <w:t>, compared to</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RFA alone. The authors conclude that increasing RFA heating time in combination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significantly improves OS and establishes an improvement of over two years versus the control arm when the heating time per milliliter of tumor is greater than 2.5 minutes. This finding is consistent with the Company’s own results, which defined the optimized RFA procedure as a 45-minute treatment for tumors with a diameter of 3 centimeters. Thus, the NIH analysis lends support to the hypothesis underpinning the OPTIMA Study.</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The HEAT Study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January 31, 2013, the Company announced that the HEAT Study, ThermoDox® in combination with RFA, did not meet the primary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 PFS, in the Phase III clinical trial enrolling 701 patients with primary liver cancer. This determination was made after conferring with the HEAT Study independent DMC, that the HEAT Study did not meet the goal of demonstrating a clinically meaningful improvement in progression free survival. In the trial, ThermoDox® was well-tolerated with no unexpected serious adverse events. Following the announcement of the HEAT Study results, we continued to follow patients for OS, the secondary endpoint of the HEAT Study. We have conducted a comprehensive analysis of the data from the HEAT Study to assess the future strategic value and development strategy for ThermoDox®.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78" w:lineRule="exact"/>
        <w:rPr>
          <w:sz w:val="20"/>
          <w:szCs w:val="20"/>
          <w:color w:val="auto"/>
        </w:rPr>
      </w:pPr>
    </w:p>
    <w:p>
      <w:pPr>
        <w:ind w:left="460" w:hanging="317"/>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460" w:hanging="317"/>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25" w:lineRule="exact"/>
        <w:rPr>
          <w:rFonts w:ascii="Arial" w:cs="Arial" w:eastAsia="Arial" w:hAnsi="Arial"/>
          <w:sz w:val="18"/>
          <w:szCs w:val="18"/>
          <w:color w:val="auto"/>
        </w:rPr>
      </w:pPr>
    </w:p>
    <w:p>
      <w:pPr>
        <w:ind w:left="460" w:hanging="317"/>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Ideal for long-term maintenance therapy.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GEN-I OVATION Study. </w:t>
      </w:r>
      <w:r>
        <w:rPr>
          <w:rFonts w:ascii="Arial" w:cs="Arial" w:eastAsia="Arial" w:hAnsi="Arial"/>
          <w:sz w:val="16"/>
          <w:szCs w:val="16"/>
          <w:color w:val="auto"/>
        </w:rPr>
        <w:t>In February 2015, we announced that the FDA accepted, without objection, the Phase I dose-escalation clinical trial of GEN-1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with the standard of care in neoadjuvant ovarian cancer (the “OVATION Study”). On September 30, 2015, we announced enrollment of the first patient in the OVATION Study. The OVATION Study was designed to (i) identify a safe, tolerable and potentially therapeutically active dose of GEN-1 by recruiting and maximizing an immune response; (ii) to enroll three to six patients per dose level and will evaluate safety and efficacy and (iii) attempt to define an optimal dose for a follow-on Phase I/II study. In addition, the OVATION Study establishes a unique opportunity to assess how cytokine-based compounds such as GEN-1, directly affect ovarian cancer cells and the tumor microenvironment in newly diagnosed patients. The study was designed to characterize the nature of the immune response triggered by GEN-1 at various levels of the patients’ immune system, including:</w:t>
      </w:r>
    </w:p>
    <w:p>
      <w:pPr>
        <w:spacing w:after="0" w:line="166"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initiated the OVATION Study at four clinical sites at the University of Alabama at Birmingham, Oklahoma University Medical Center, Washington University in St. Louis and the Medical College of Wisconsin. During 2016 and 2017, we announced data from the first fourteen patients in the OVATION Study, who completed treatment. On October 3, 2017, we announced final clinical and translational research data from the OVATION Study.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intraperitoneal treatment of GEN-1 in conjunction with neoadjuvant chemotherapy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overall survival;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The Company also reported positive clinical data from the first fourteen patients who completed treatment in the OVATION Study. GEN-1 plus standard chemotherapy produced positive clinical results, with no dose limiting toxicities and positive dose dependent efficacy signals which correlate well with positive surgical outcomes as summarized below:</w:t>
      </w:r>
    </w:p>
    <w:p>
      <w:pPr>
        <w:spacing w:after="0" w:line="184"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 2019, the Company announced final PFS results from the OVATION Study. Median progression-free survival (PFS) in patients treated per protocol (n=14) was 21 months and was 17.1 months for the intent-to-treat population (n=18) for all dose cohorts, including three patients who dropped out of the study after 13 days or less, and two patients who did not receive full NAC and GEN-1 cycles. Under the current standard of care, in women with Stage III/IV ovarian cancer undergoing NAC, the disease progresses within about 12 months on average. The results from the OVATION Study support continued evaluation of GEN-1 based on promising tumor response, as reported in the PFS data, and the ability for surgeons to completely remove visible tumor at debulking surgery. GEN-1 was well tolerated and no dose-limiting toxicities were detected. Intraperitoneal administration of GEN-1 was feasible with broad patient acceptance.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GEN-1 OVATION 2 Study. </w:t>
      </w:r>
      <w:r>
        <w:rPr>
          <w:rFonts w:ascii="Arial" w:cs="Arial" w:eastAsia="Arial" w:hAnsi="Arial"/>
          <w:sz w:val="18"/>
          <w:szCs w:val="18"/>
          <w:color w:val="auto"/>
        </w:rPr>
        <w:t>The Company held an Advisory Board Meeting on September 27, 2017 with the clinical investigators and scientific experts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from Roswell Park Cancer Institute, Vanderbilt University Medical School, and M.D. Anderson Cancer Center to review and finalize clinical, translational research and safety data from the Phase IB OVATION Study in order to determine the next steps forward for our GEN-1 immunotherapy program.</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13, 2017, the Company filed its Phase I/II clinical trial protocol with the U.S. Food and Drug Administration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130 patients randomized Phase II study.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OVATION 2 Study, patients in the GEN-1 treatment arm will receive GEN-1 plus chemotherapy pre- and post-interval debulking surgery. The OVATION 2 Study will include up to 130 patients with Stage III/IV ovarian cancer, with 12 to 15 patients in the Phase I portion and up to 118 patients in Phase II. The study is powered to show a 33% improvement in the primary endpoint, PFS, when comparing GEN-1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5, 2019, the Company announced that the independent Data Safety Monitoring Board (DSMB) completed its safety review of data from the first eight patients enrolled in the ongoing Phase I/II OVATION 2 Study. Based on the DSMB’s recommendation, the study will continue as planned and the Company will proceed with completing enrollment in the Phase I portion of the trial.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announced highly encouraging initial clinical data from the first 15 patients enrolled in the ongoing Phase I/II OVATION 2 Study for patients newly diagnosed with Stage III and IV ovarian cancer. The OVATION 2 Study combines GEN-1, the Company’s IL-12 gene-mediated immunotherapy, with standard-of-care neoadjuvant chemotherapy (NACT). Following NACT, patients undergo interval debulking surgery (IDS), followed by three additional cycles of chemotherapy.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ind w:right="20"/>
        <w:spacing w:after="0" w:line="277" w:lineRule="auto"/>
        <w:rPr>
          <w:sz w:val="20"/>
          <w:szCs w:val="20"/>
          <w:color w:val="auto"/>
        </w:rPr>
      </w:pPr>
      <w:r>
        <w:rPr>
          <w:rFonts w:ascii="Arial" w:cs="Arial" w:eastAsia="Arial" w:hAnsi="Arial"/>
          <w:sz w:val="18"/>
          <w:szCs w:val="18"/>
          <w:color w:val="auto"/>
        </w:rPr>
        <w:t>GEN-1 plus standard NACT produced positive dose-dependent efficacy results, with no dose-limiting toxicities, which correlates well with successful surgical outcomes as summarized below:</w:t>
      </w:r>
    </w:p>
    <w:p>
      <w:pPr>
        <w:spacing w:after="0" w:line="170" w:lineRule="exact"/>
        <w:rPr>
          <w:sz w:val="20"/>
          <w:szCs w:val="20"/>
          <w:color w:val="auto"/>
        </w:rPr>
      </w:pPr>
    </w:p>
    <w:p>
      <w:pPr>
        <w:jc w:val="both"/>
        <w:ind w:left="660" w:hanging="328"/>
        <w:spacing w:after="0" w:line="30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Of the 15 patients treated in the Phase I portion of the OVATION 2 Study, nine patients were treated with GEN-1 at a dose of 100 mg/m² plus NACT and six patients were treated with NACT only. All 15 patients had successful resections of their tumors, with seven out of nine patients (78%) in the GEN-1 treatment arm having an R0 resection, which indicates a microscopically margin-negative resection in which no gross or microscopic tumor remains in the tumor bed. Only three out of six patients (50%) in the NACT only treatment arm had a R0 resection.</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When combining these results with the surgical resection rates observed in the Company’s prior Phase Ib dose-escalation trial (the OVATION 1 Study), a population of patients with inclusion criteria identical to the OVATION 2 Study, the data reflect the strong dose-dependent efficacy of adding GEN-1 to the current standard of care NACT:</w:t>
      </w:r>
    </w:p>
    <w:p>
      <w:pPr>
        <w:spacing w:after="0" w:line="183" w:lineRule="exact"/>
        <w:rPr>
          <w:rFonts w:ascii="Arial" w:cs="Arial" w:eastAsia="Arial" w:hAnsi="Arial"/>
          <w:sz w:val="18"/>
          <w:szCs w:val="18"/>
          <w:color w:val="auto"/>
        </w:rPr>
      </w:pPr>
    </w:p>
    <w:p>
      <w:pPr>
        <w:ind w:left="8940" w:hanging="200"/>
        <w:spacing w:after="0"/>
        <w:tabs>
          <w:tab w:leader="none" w:pos="89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of Patients with</w:t>
      </w:r>
    </w:p>
    <w:p>
      <w:pPr>
        <w:spacing w:after="0" w:line="23" w:lineRule="exact"/>
        <w:rPr>
          <w:sz w:val="20"/>
          <w:szCs w:val="20"/>
          <w:color w:val="auto"/>
        </w:rPr>
      </w:pPr>
    </w:p>
    <w:tbl>
      <w:tblPr>
        <w:tblLayout w:type="fixed"/>
        <w:tblInd w:w="860" w:type="dxa"/>
        <w:tblCellMar>
          <w:top w:w="0" w:type="dxa"/>
          <w:left w:w="0" w:type="dxa"/>
          <w:bottom w:w="0" w:type="dxa"/>
          <w:right w:w="0" w:type="dxa"/>
        </w:tblCellMar>
      </w:tblPr>
      <w:tr>
        <w:trPr>
          <w:trHeight w:val="223"/>
        </w:trPr>
        <w:tc>
          <w:tcPr>
            <w:tcW w:w="498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R0 Resections</w:t>
            </w:r>
          </w:p>
        </w:tc>
        <w:tc>
          <w:tcPr>
            <w:tcW w:w="160" w:type="dxa"/>
            <w:vAlign w:val="bottom"/>
            <w:tcBorders>
              <w:bottom w:val="single" w:sz="8" w:color="CCEEFF"/>
            </w:tcBorders>
          </w:tcPr>
          <w:p>
            <w:pPr>
              <w:spacing w:after="0"/>
              <w:rPr>
                <w:sz w:val="19"/>
                <w:szCs w:val="19"/>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0, 36, 47 mg/m² of GEN-1 plus NACT</w:t>
            </w:r>
          </w:p>
        </w:tc>
        <w:tc>
          <w:tcPr>
            <w:tcW w:w="278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n=12</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61, 79, 100 mg/m² of GEN-1 plus NACT</w:t>
            </w:r>
          </w:p>
        </w:tc>
        <w:tc>
          <w:tcPr>
            <w:tcW w:w="2780" w:type="dxa"/>
            <w:vAlign w:val="bottom"/>
          </w:tcPr>
          <w:p>
            <w:pPr>
              <w:ind w:left="2020"/>
              <w:spacing w:after="0"/>
              <w:rPr>
                <w:sz w:val="20"/>
                <w:szCs w:val="20"/>
                <w:color w:val="auto"/>
              </w:rPr>
            </w:pPr>
            <w:r>
              <w:rPr>
                <w:rFonts w:ascii="Arial" w:cs="Arial" w:eastAsia="Arial" w:hAnsi="Arial"/>
                <w:sz w:val="18"/>
                <w:szCs w:val="18"/>
                <w:color w:val="auto"/>
              </w:rPr>
              <w:t>n=17</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bl>
    <w:p>
      <w:pPr>
        <w:spacing w:after="0" w:line="187" w:lineRule="exact"/>
        <w:rPr>
          <w:sz w:val="20"/>
          <w:szCs w:val="20"/>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objective response rate (ORR) as measured by Response Evaluation Criteria in Solid Tumors (RECIST) criteria for the 0, 36, 47 mg/m² dose GEN-1 patients were comparable, as expected, to the higher (61, 79, 100 mg/m²) dose GEN-1 patients, with both groups demonstrating an approximate 80% ORR.</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23, 2020, the Company announced that the European Medicines Agency (EMA) Committee for Orphan Medicinal Products (COMP) has recommended that GEN-1 be designated as an orphan medicinal product for the treatment of ovarian cancer. GEN-1, designed using Celsion’s proprietary TheraPlas platform technology, is an interleukin-12 (IL-12) DNA plasmid vector encased in a non-viral nanoparticle delivery system, which enables cell transfection followed by persistent, local secretion of the IL-12 protein. GEN-1 previously received orphan designation from the U.S. Food and Drug Administration and is currently being evaluated in a Phase I/II clinical trial (the OVATION 2 Study) for the treatment of newly diagnosed patients with Stage III and IV ovarian cancer.</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26, 2020, the Company announced leading oncology drug development company, today jointly announced with Medidata, a Dassault Systèmes company, that examining matched patient data provided by Medidata in a synthetic control arm (SCA) with results from the Company’s completed Phase Ib dose-escalating OVATION I Study with GEN-1 in Stage III/IV ovarian cancer patients showed positive results in progression-free survival (PFS). The hazard ratio (HR) was 0.53 in the intent-to-treat (ITT) group, showing strong signals of efficacy. GEN-1, designed using Celsion’s proprietary TheraPlas platform technology, is an interleukin-12 (IL-12) DNA plasmid vector encased in a non-viral nanoparticle delivery system, which enables cell transfection followed by persistent, local secretion of the IL-12 protein. Celsion believes these data may warrant consideration of strategies to accelerate the clinical development program for GEN-1 in newly diagnosed, advanced ovarian cancer patients by the U.S. Food and Drug Administration (FDA). In its March 2019 discussion with Celsion, the FDA noted that preliminary findings from the Phase Ib OVATION I Study were exciting but lacked a control group to evaluate GEN-1’s independent impact on impressive tumor response, surgical results and PFS. The Agency encouraged the Company to continue its GEN-1 development program and consult with FDA with new findings that may have a bearing on designations such as Fast Track and Breakthrough Therapy. SCAs have the potential to revolutionize clinical trials in certain oncology indications and some other diseases where a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TheraPlas Technology Platform. </w:t>
      </w:r>
      <w:r>
        <w:rPr>
          <w:rFonts w:ascii="Arial" w:cs="Arial" w:eastAsia="Arial" w:hAnsi="Arial"/>
          <w:sz w:val="17"/>
          <w:szCs w:val="17"/>
          <w:color w:val="auto"/>
        </w:rPr>
        <w:t>TheraPlas is a technology platform for the delivery of DNA and messenger RNA (“mRNA”) therapeutics via synthetic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TheraPlas is a viable alternative to current approaches to gene delivery due to several distinguishing characteristics, including enhanced molecular versatility that allows for complex modifications to improve activity and safety.</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Technology Development and Licensing Agreements. </w:t>
      </w:r>
      <w:r>
        <w:rPr>
          <w:rFonts w:ascii="Arial" w:cs="Arial" w:eastAsia="Arial" w:hAnsi="Arial"/>
          <w:sz w:val="18"/>
          <w:szCs w:val="18"/>
          <w:color w:val="auto"/>
        </w:rPr>
        <w:t>Our current efforts and resources are applied on the development and commercialization of cancer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drugs including tumor-targeting chemotherapy treatments using focused heat energy in combination with heat-activated drug delivery systems, immunotherapies and RNA-based therapies.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8, 2016, we signed the GEN-1 Agreement with Hisun to pursue an expanded partnership for the technology transfer relating to the clinical and commercial manufacture and supply of GEN-1, Celsion’s proprietary gene mediated, IL-12 immunotherapy, for the China territory, with the option to expand into other countries in the rest of the world after all necessary regulatory approvals are obtained. The GEN-1 Agreement will help to support supply for both ongoing and planned clinical studies in the U.S. and for potential future studies of GEN-1 in China. GEN-1 is currently being evaluated by Celsion in first line ovarian cancer patients.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2012, Celsion and Hisun signed a long-term commercial supply agreement for the production of ThermoDox®. Hisun is one the largest manufacturers of chemotherapy agents globally, including doxorubicin. In July 2013, the ThermoDox® collaboration was expanded to focus on next generation liposomal formulation development with the goal of creating safer, more efficacious versions of marketed cancer chemotherapeutics. During 2015, Hisun successfully completed the manufacture of three registration batches for ThermoDox® and has obtained regulatory approvals to supply ThermoDox® to participating clinical trial sites in all of the countries of South East Asia and North America, as well as to the European Union countries allowing for early access to ThermoDox®. The future manufacturing of clinical and commercial supplies by Hisun will result in a cost structure allowing Celsion to profitably access all global markets, including third world countries, and help accelerate the Company’s product development program in China for ThermoDox® in primary liver cancer and other approved indications.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II, Item 1A. Risk Factors” in this Quarterly Report on Form 10-Q.</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have incurred significant net losses in each year since our inception. As of March 31, 2020, the Company has incurred approximately $296 million of cumulative net losses and we had approximately $17.5 million in cash, investment securities, interest receivable and receivables on the sale of is State of New Jersey net operating losses.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 In January 2020, the World Health Organization (WHO) declared an outbreak of coronavirus, COVID-19, to be a “Public Health Emergency of International Concern,” and the U.S. Department of Health and Human Services declared a public health emergency to aid the U.S. healthcare community in responding to COVID-19. This virus continues to spread globally and, as of mid-May 2020, has spread to over 100 countries, including the United States. Our ability to raise additional capital may be adversely impacted by potential worsening global economic conditions and the recent disruptions to, and volatility in, financial markets in the United States and worldwide resulting from the ongoing COVID-19 pandemic.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jc w:val="both"/>
        <w:spacing w:after="0" w:line="311" w:lineRule="auto"/>
        <w:rPr>
          <w:sz w:val="20"/>
          <w:szCs w:val="20"/>
          <w:color w:val="auto"/>
        </w:rPr>
      </w:pPr>
      <w:r>
        <w:rPr>
          <w:rFonts w:ascii="Arial" w:cs="Arial" w:eastAsia="Arial" w:hAnsi="Arial"/>
          <w:sz w:val="16"/>
          <w:szCs w:val="16"/>
          <w:color w:val="auto"/>
        </w:rPr>
        <w:t>The disruptions caused by COVID-19 may also disrupt the clinical trials process and enrollment of patients. This may delay commercialization efforts. The Company is currently monitoring its operating activities in light of these events and it is reasonably possible that the virus could have a negative effect on the Company’s financial condition and results of operations, the specific impact is not readily determinable as of the date of these financial statements.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companies. As more fully discussed in Note 9, the Company received approval from the New Jersey Economic Development Authority to sell $1.9 million of its State of New Jersey net operating losses recognizing a tax benefit for the year ended December 31, 2019 for the net proceeds (approximately $1.8 million). In early 2020, the Company entered into an agreement to sell these net operating losses, In April of 2020, the Company completed the sale of the New Jersey net operating losses and received the $1.8 million net proceeds. In 2018, the Company completed the sale of a portion of its New Jersey net operating losses for 2011 - 2017 totaling approximately $11.1 for net proceeds of approximately $10.4 million in December 2018. The proceeds of $10.4 million were reflected as a tax benefit for the year ended December 31, 2018. The Company has approximately $2.0 million in future tax benefits remaining under the NOL Program for future years.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23, 2020, we filed a Current Report on Form 8-K announcing we entered into a loan agreement with Silicon Valley Bank (the “PPP Loan”), pursuant to the Paycheck Protection Program of the Coronavirus Aid, Relief, and Economic Security Act. We thereafter received proceeds of $632,220 under the PPP Loan. The PPP Loan application required Celsion to certify that there was economic uncertainty surrounding the Company and that, as such, the PPP Loan was necessary to support our ongoing operations. Celsion made this certification in good faith after analyzing, among other things, its financial situation and access to alternative forms of capital, and believes that the Company satisfied all eligibility criteria for the PPP Loan, and that our receipt of the PPP Loan proceeds was consistent with the broad objectives of the PPP of the CARES Act. The certification given with respect to the PPP Loan does not contain any objective criteria and is subject to interpretation. In light of subsequent guidance issued by the U.S. Small Business Administration in consultation with the U.S. Department of the Treasury, out of an abundance of caution we returned the proceeds of the PPP Loan in full on May 13, 2020.. Celsion may choose to reapply for the loan if the SBA provides future applicable guidance.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jc w:val="both"/>
        <w:spacing w:after="0" w:line="255" w:lineRule="auto"/>
        <w:rPr>
          <w:sz w:val="20"/>
          <w:szCs w:val="20"/>
          <w:color w:val="auto"/>
        </w:rPr>
      </w:pPr>
      <w:r>
        <w:rPr>
          <w:rFonts w:ascii="Arial" w:cs="Arial" w:eastAsia="Arial" w:hAnsi="Arial"/>
          <w:sz w:val="18"/>
          <w:szCs w:val="18"/>
          <w:color w:val="auto"/>
        </w:rPr>
        <w:t>In June 2018, the Company entered into the Horizon Credit Agreement with Horizon that provided $10 million in new capital.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twenty-four (24) months after through July 2020, closing, followed by a 24-month amortization period of principal and interest starting on August 1, 2020 and ending through the scheduled maturity date. On May 13, 2020, the Company and Horizon agreed to defer the first two principal payments totaling a $833,333 due in August and September 2020.</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With $17.5 million in cash, investments, interest receivable and receivable from the sale of the New Jersey net operating losses at March 31, 2020, coupled with future sales of the Company’s State of New Jersey NOL’s as well as the remaining availability under the Capital-on-Demand Equity Facility with JonesTrading Institutional Services LLC, the Company believes it has sufficient capital resources to fund its operations through mid-2021.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Debt and Other Forms of Financing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more fully discussed in Note 3of the Financial Statement included in this Quarterly Report, during the fourth quarter of 2018, the Company received eligibility from the New Jersey Economic Development Authority to sell, and did sell, $11.1 million of its unused New Jersey net operating losses under the Technology Business Tax Certificate Program, receiving $10.4 million of non-dilutive funding in the process. During the fourth quarter of 2019, the Company received approval from the New Jersey Economic Development Authority to sell $1.9 million of its New Jersey net operating losses. In early 2020, the Company entered into an agreement to sell these net operating losses. In April 2020, the Company completed the sale of its New Jersey net operating losses and received $1.8 million in net proceeds.</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23, 2020, we filed a Current Report on Form 8-K announcing we entered into a loan agreement with Silicon Valley Bank (the “PPP Loan”), pursuant to the Paycheck Protection Program of the Coronavirus Aid, Relief, and Economic Security Act. We thereafter received proceeds of $632,220 under the PPP Loan. The PPP Loan application required Celsion to certify that there was economic uncertainty surrounding the Company and that, as such, the PPP Loan was necessary to support our ongoing operations. Celsion made this certification in good faith after analyzing, among other things, its financial situation and access to alternative forms of capital, and believes that the Company satisfied all eligibility criteria for the PPP Loan, and that our receipt of the PPP Loan proceeds was consistent with the broad objectives of the PPP of the CARES Act. The certification given with respect to the PPP Loan does not contain any objective criteria and is subject to interpretation. In light of subsequent guidance issued by the U.S. Small Business Administration in consultation with the U.S. Department of the Treasury, out of an abundance of caution we returned the proceeds of the PPP Loan in full on May 13, 2020.. Celsion may choose to reapply for the loan if the SBA provides future applicable guidance.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the Company entered into the Horizon Credit Agreement with Horizon that provided $10 million in new capital.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twenty-four (24) months after through July 2020, closing, followed by a 24-month amortization period of principal and interest starting on August 1, 2020 and ending through the scheduled maturity date. On May 13, 2020, the Company and Horizon agreed to defer the first two principal payments totaling a $833,333 due in August and September 2020.</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2019 and thus far in 2020, we issued a total of 10.0 million shares of common stock in the following equity transactions for an aggregate of approximately $14.4 million in gross proceeds.</w:t>
      </w:r>
    </w:p>
    <w:p>
      <w:pPr>
        <w:spacing w:after="0" w:line="170" w:lineRule="exact"/>
        <w:rPr>
          <w:sz w:val="20"/>
          <w:szCs w:val="20"/>
          <w:color w:val="auto"/>
        </w:rPr>
      </w:pPr>
    </w:p>
    <w:p>
      <w:pPr>
        <w:jc w:val="both"/>
        <w:ind w:left="660" w:hanging="652"/>
        <w:spacing w:after="0" w:line="26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February 27, 2020, we entered into a Securities Purchase Agreement (the “Purchase Agreement”) with several institutional investors, pursuant to which we agreed to issue and sell, in a registered direct offering (the “February 2020 Offering”), an aggregate of 4.6 million shares (the “Shares”) of our common stock at an offering price of $1.05 per share for gross proceeds of approximately $4.8 million before the deduction of the Placement Agent fees and offering expenses. The Shares were offered by the Company pursuant to a registration statement on Form S-3 (File No. 333-227236). The Purchase Agreement contains customary representations, warranties and agreements by the Company and customary conditions to closing. In a concurrent private placement (the “Private Placement”), the Company agreed to issue to the investors that participated in the Offering, for no additional consideration, warrants, to purchase up to 3.0 million shares of Common Stock (the “Original Warrants”). The Original Warrants were initially exercisable six months following their and were set to expire on the five-year anniversary of such initial exercise date. The Warrants had an exercise price of $1.15 per share subject to adjustment as provided therein. On March 12, 2020 the Company entered into private exchange agreements (the “Exchange Agreements”) with holders the Warrants. Pursuant to the Exchange Agreements, in return for a higher exercise price of $1.24 per share of Common Stock, the Company issued new warrants to the Investors to purchase up to 3.2 million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jc w:val="both"/>
        <w:ind w:left="652" w:hanging="652"/>
        <w:spacing w:after="0" w:line="286" w:lineRule="auto"/>
        <w:tabs>
          <w:tab w:leader="none" w:pos="6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August 31, 2018, the Company entered into the 2018 Aspire Purchase Agreement with Aspire Capital Fund LLC (“Aspire Capital”) which provides that, upon the terms and subject to the conditions and limitations set forth therein, Aspire Capital is committed to purchase up to an aggregate of $15.0 million of shares of the Company’s common stock over the 24-month term of the 2018 Aspire Purchase Agreement. On October 12, 2018, the Company filed with the SEC a prospectus supplement to the 2018 Shelf Registration Statement registering all of the shares of common stock that may be offered to Aspire Capital from time to time. The timing and amount of sales of the Company’s common stock to Aspire Capital. Aspire Capital has no right to require any sales by the Company but is obligated to make purchases from the Company as directed by the Company in accordance with the Purchase Agreement. There are no limitations on use of proceeds, financial or business covenants, restrictions on future funding, rights of first refusal, participation rights, penalties or liquidated damages in the Purchase Agreement. In consideration for entering into the Purchase Agreement, concurrently with the execution of the Purchase Agreement in 2018, the Company issued to Aspire Capital 164,835 Commitment Shares. The 2018 Aspire Purchase Agreement may be terminated by the Company at any time, at its discretion, without any cost to the Company. During 2019 the Company sold and issued an aggregate of 3.3 million shares under the Purchase Agreement, receiving approximately $6.3 million. All proceeds from the Company received under the 2018 Aspire Purchase Agreement were used for working capital and general corporate purposes. As a result of the Company and Aspire Capital entering into a new purchase agreement on October 28, 2019 discussed in the next paragraph, the 2018 Aspire Purchase Agreement was terminated. The Company sold a total of 3.4 million shares receiving $6.5 million under the 2018 Aspire Agreement during 2018 through its termination in 2019</w:t>
      </w:r>
    </w:p>
    <w:p>
      <w:pPr>
        <w:spacing w:after="0" w:line="167" w:lineRule="exact"/>
        <w:rPr>
          <w:rFonts w:ascii="Arial" w:cs="Arial" w:eastAsia="Arial" w:hAnsi="Arial"/>
          <w:sz w:val="16"/>
          <w:szCs w:val="16"/>
          <w:color w:val="auto"/>
        </w:rPr>
      </w:pPr>
    </w:p>
    <w:p>
      <w:pPr>
        <w:jc w:val="both"/>
        <w:ind w:left="652" w:hanging="652"/>
        <w:spacing w:after="0" w:line="286" w:lineRule="auto"/>
        <w:tabs>
          <w:tab w:leader="none" w:pos="6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October 28, 2019, Company entered into the 2019 Aspire Purchase Agreement with Aspire Capital. The terms and conditions pursuant to the 2019 Aspire Purchase Agreement are substantially similar to the 2018 Aspire Purchase Agreement. Pursuant to the new 2019 Aspire Purchase Agreement, Aspire Capital is committed to purchase up to an aggregate of $10.0 million of shares of the Company’s common stock over the 24-month term of the 2019 Aspire Purchase Agreement. Concurrently with entering into the 2019 Aspire Purchase Agreement, the Company also entered into a registration rights agreement with Aspire Capital (the “Registration Rights Agreement”), in which the Company agreed to file one or more registration statements, as permissible and necessary to register under the Securities Act of 1933, as amended (the “Securities Act”), registering the sale of the shares of the Company’s common stock that have been and may be issued to Aspire Capital under the 2019 Aspire Purchase Agreement. In consideration for entering into the 2019 Aspire Purchase Agreement, the Company issued to Aspire Capital an additional 0.1 million Commitment Shares. On November 8, 2019, the Company filed with the SEC a Registration Statement on Form S-1 registering all the shares of common stock that may be offered to Aspire Capital from time to time under the 2019 Aspire Purchase Agreement. During 2019, the Company sold 0.5 million shares of common stock under the 2019 Aspire Purchase Agreement, receiving approximately $0.7 million in gross proceeds. On March 5, 2020, the Company delivered notice to Aspire Capital terminating the 2019 Aspire Purchase Agreement effective as of March 6, 2020. During the first quarter of 2020 though the date of termination, the Company sold 1.0 million shares of common stock under the 2019 Aspire Purchase Agreement and received $1.6 million in gross proceeds.</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5" w:right="339" w:bottom="1440" w:gutter="0" w:footer="0" w:header="0"/>
        </w:sectPr>
      </w:pPr>
    </w:p>
    <w:bookmarkStart w:id="38" w:name="page39"/>
    <w:bookmarkEnd w:id="38"/>
    <w:p>
      <w:pPr>
        <w:jc w:val="both"/>
        <w:ind w:left="660" w:hanging="652"/>
        <w:spacing w:after="0" w:line="270" w:lineRule="auto"/>
        <w:tabs>
          <w:tab w:leader="none" w:pos="660" w:val="left"/>
        </w:tabs>
        <w:numPr>
          <w:ilvl w:val="0"/>
          <w:numId w:val="17"/>
        </w:numPr>
        <w:rPr>
          <w:rFonts w:ascii="Arial" w:cs="Arial" w:eastAsia="Arial" w:hAnsi="Arial"/>
          <w:sz w:val="32"/>
          <w:szCs w:val="32"/>
          <w:color w:val="auto"/>
          <w:vertAlign w:val="superscript"/>
        </w:rPr>
      </w:pPr>
      <w:r>
        <w:rPr>
          <w:rFonts w:ascii="Arial" w:cs="Arial" w:eastAsia="Arial" w:hAnsi="Arial"/>
          <w:sz w:val="16"/>
          <w:szCs w:val="16"/>
          <w:color w:val="auto"/>
        </w:rPr>
        <w:t>On December 4, 2018, the Company entered into a new Capital on Demand</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Sales Agreement (the “Capital on Demand Agreement”) with JonesTrading Institutional Services LLC, as sales agent (“JonesTrading”), pursuant to which the Company may offer and sell, from time to time, through JonesTrading shares of common stock having an aggregate offering price of up to $16.0 million. The Company intends to use the net proceeds from the offering, if any, for general corporate purposes, including research and development activities, capital expenditures and working capital. The Company is not obligated to sell any Common Stock under the Capital on Demand Agreement and, subject to the terms and conditions of the Capital on Demand Agreement, JonesTrading will use commercially reasonable efforts, consistent with its normal trading and sales practices and applicable state and federal law, rules and regulations and the rules of The Nasdaq Capital Market, to sell common stock from time to time based upon Celsion’s instructions, including any price, time or size limits or other customary parameters or conditions the Company may impose. Under the Capital on Demand Agreement, JonesTrading may sell common stock by any method deemed to be an “at the market offering” as defined in Rule 415 promulgated under the Securities Act of 1933, as amended. The Capital on Demand Agreement will terminate upon the earlier of (i) the sale of all shares of our common stock subject to the Sales Agreement, and (ii) the termination of the Capital on Demand Agreement by JonesTrading or Celsion. The Capital on Demand Agreement may be terminated by JonesTrading or the Company at any time upon 10 days’ notice to the other party, or by JonesTrading at any time in certain circumstances, including the occurrence of a material adverse change in the Company. The Company did not sell any shares under the Capital on Demand Agreement thus far in 2020. During 2019, the Company sold 0.5 million shares of common stock under the Capital on Demand Agreement, receiving approximately $1.0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in our 2018 Annual Report on Form 10-K for the year ended December 31, 2019 filed with the SEC on March 25, 2020.</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2016, the FASB issued Accounting Standard Update No. 2016-13, “Financial Instruments – Credit Losses (Topic 326): Measurement of Credit Losses on Financial Instruments”, which modifies the measurement of expected credit losses on certain financial instruments. The Company will adopt ASU 2016-13 in its first quarter of 2021 utilizing the modified retrospective transition method. Based on the composition of the Company’s investment portfolio and current market conditions, the adoption of ASU 2016-13 is not expected to have a material impact on its consolidated financial statements.</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Disclosure Framework – 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which adds and modifies certain disclosure requirements for fair value measurements. Under the new guidance, entities will no longer</w:t>
      </w:r>
      <w:r>
        <w:rPr>
          <w:rFonts w:ascii="Arial" w:cs="Arial" w:eastAsia="Arial" w:hAnsi="Arial"/>
          <w:sz w:val="17"/>
          <w:szCs w:val="17"/>
          <w:i w:val="1"/>
          <w:iCs w:val="1"/>
          <w:color w:val="auto"/>
        </w:rPr>
        <w:t xml:space="preserve"> </w:t>
      </w:r>
      <w:r>
        <w:rPr>
          <w:rFonts w:ascii="Arial" w:cs="Arial" w:eastAsia="Arial" w:hAnsi="Arial"/>
          <w:sz w:val="17"/>
          <w:szCs w:val="17"/>
          <w:color w:val="auto"/>
        </w:rPr>
        <w:t>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and early adoption is permitted. The adoption of this standard did not have an impact on the Company’s financial statements.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2019, the FASB issued ASU No. 2019-12, Income Taxes (Topic 740). The standard simplifies the accounting for incomes taxes by removing certain exceptions to the general principles in Topic 740 related to the approach for intra-period tax allocation and the recognition of deferred tax liabilities for outside basis differences. The standard also clarifies the accounting for transactions that result in a step-up in the tax basis of goodwill. The standard also improves consistent application of and simplifies GAAP for other areas of Topic 740 by clarifying and amending existing guidance. The amendment is effective for fiscal years, and interim periods within those fiscal years, beginning after December 15, 2020. Early adoption is permitted. The Company is currently evaluating the impact that the adoption of this standard will have on its consolidated financial statements.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Material risks and uncertainties relating to our business and our industry are described in “Item 1A. Risk Factors” under “Part II: Other Information” included herein. As a clinical stage biopharmaceutical company, our business and our ability to execute our strategy to achieve our corporate goals are subject to numerous risks and uncertainties. Please refer to Note 3 of the Financial Statements contained in this Form 10-Q. Also refer to </w:t>
      </w:r>
      <w:r>
        <w:rPr>
          <w:rFonts w:ascii="Arial" w:cs="Arial" w:eastAsia="Arial" w:hAnsi="Arial"/>
          <w:sz w:val="18"/>
          <w:szCs w:val="18"/>
          <w:b w:val="1"/>
          <w:bCs w:val="1"/>
          <w:color w:val="auto"/>
        </w:rPr>
        <w:t>Item IA, Risk</w:t>
      </w:r>
      <w:r>
        <w:rPr>
          <w:rFonts w:ascii="Arial" w:cs="Arial" w:eastAsia="Arial" w:hAnsi="Arial"/>
          <w:sz w:val="18"/>
          <w:szCs w:val="18"/>
          <w:color w:val="auto"/>
        </w:rPr>
        <w:t xml:space="preserve"> </w:t>
      </w:r>
      <w:r>
        <w:rPr>
          <w:rFonts w:ascii="Arial" w:cs="Arial" w:eastAsia="Arial" w:hAnsi="Arial"/>
          <w:sz w:val="18"/>
          <w:szCs w:val="18"/>
          <w:b w:val="1"/>
          <w:bCs w:val="1"/>
          <w:color w:val="auto"/>
        </w:rPr>
        <w:t>Factors</w:t>
      </w:r>
      <w:r>
        <w:rPr>
          <w:rFonts w:ascii="Arial" w:cs="Arial" w:eastAsia="Arial" w:hAnsi="Arial"/>
          <w:sz w:val="18"/>
          <w:szCs w:val="18"/>
          <w:color w:val="auto"/>
        </w:rPr>
        <w:t>, including, but not limited to</w:t>
      </w:r>
      <w:r>
        <w:rPr>
          <w:rFonts w:ascii="Arial" w:cs="Arial" w:eastAsia="Arial" w:hAnsi="Arial"/>
          <w:sz w:val="18"/>
          <w:szCs w:val="18"/>
          <w:i w:val="1"/>
          <w:iCs w:val="1"/>
          <w:color w:val="auto"/>
        </w:rPr>
        <w:t>, “We will need to raise substantial additional capital to fund our planned future operations, and we may be unable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secure such capital without dilutive financing transactions. If we are not able to raise additional capital, we may not be able to complete the development, testing and commercialization of our product candidates.”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39" w:name="page40"/>
    <w:bookmarkEnd w:id="39"/>
    <w:p>
      <w:pPr>
        <w:jc w:val="both"/>
        <w:spacing w:after="0" w:line="263"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MONTHS ENDED MARCH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2020 our net loss was $5.1 million compared to a net loss of $2.4 million for the same three-month period of 2019.</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$17.5 million in cash, investments, interest receivable and income tax receivable at March 31, 2020, coupled with future sales of the Company’s State of New Jersey net operating losses well as the remaining availability under the Capital on Demand Equity Facility with JonesTrading Institutional Services LLC, the Company believes it has sufficient capital resources to fund its operations through mid-2021.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6"/>
          </w:tcPr>
          <w:p>
            <w:pPr>
              <w:jc w:val="right"/>
              <w:ind w:right="1520"/>
              <w:spacing w:after="0"/>
              <w:rPr>
                <w:sz w:val="20"/>
                <w:szCs w:val="20"/>
                <w:color w:val="auto"/>
              </w:rPr>
            </w:pPr>
            <w:r>
              <w:rPr>
                <w:rFonts w:ascii="Arial" w:cs="Arial" w:eastAsia="Arial" w:hAnsi="Arial"/>
                <w:sz w:val="18"/>
                <w:szCs w:val="18"/>
                <w:b w:val="1"/>
                <w:bCs w:val="1"/>
                <w:color w:val="auto"/>
                <w:w w:val="95"/>
              </w:rPr>
              <w:t>Three Months Ended March 31,</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4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60" w:type="dxa"/>
            <w:vAlign w:val="bottom"/>
            <w:gridSpan w:val="6"/>
          </w:tcPr>
          <w:p>
            <w:pPr>
              <w:jc w:val="right"/>
              <w:ind w:right="1181"/>
              <w:spacing w:after="0"/>
              <w:rPr>
                <w:sz w:val="20"/>
                <w:szCs w:val="20"/>
                <w:color w:val="auto"/>
              </w:rPr>
            </w:pPr>
            <w:r>
              <w:rPr>
                <w:rFonts w:ascii="Arial" w:cs="Arial" w:eastAsia="Arial" w:hAnsi="Arial"/>
                <w:sz w:val="18"/>
                <w:szCs w:val="18"/>
                <w:b w:val="1"/>
                <w:bCs w:val="1"/>
                <w:color w:val="auto"/>
                <w:w w:val="95"/>
              </w:rPr>
              <w:t>(In thousands)</w:t>
            </w:r>
          </w:p>
        </w:tc>
        <w:tc>
          <w:tcPr>
            <w:tcW w:w="260" w:type="dxa"/>
            <w:vAlign w:val="bottom"/>
          </w:tcPr>
          <w:p>
            <w:pPr>
              <w:spacing w:after="0"/>
              <w:rPr>
                <w:sz w:val="20"/>
                <w:szCs w:val="20"/>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5"/>
              </w:rPr>
              <w:t>Change Increase (Decrease)</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470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Clinical Research</w:t>
            </w:r>
          </w:p>
        </w:tc>
        <w:tc>
          <w:tcPr>
            <w:tcW w:w="86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Arial" w:cs="Arial" w:eastAsia="Arial" w:hAnsi="Arial"/>
                <w:sz w:val="18"/>
                <w:szCs w:val="18"/>
                <w:color w:val="auto"/>
              </w:rPr>
              <w:t>1,819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41"/>
              <w:spacing w:after="0"/>
              <w:rPr>
                <w:sz w:val="20"/>
                <w:szCs w:val="20"/>
                <w:color w:val="auto"/>
              </w:rPr>
            </w:pPr>
            <w:r>
              <w:rPr>
                <w:rFonts w:ascii="Arial" w:cs="Arial" w:eastAsia="Arial" w:hAnsi="Arial"/>
                <w:sz w:val="18"/>
                <w:szCs w:val="18"/>
                <w:color w:val="auto"/>
              </w:rPr>
              <w:t>1,780</w:t>
            </w:r>
          </w:p>
        </w:tc>
        <w:tc>
          <w:tcPr>
            <w:tcW w:w="26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Arial" w:cs="Arial" w:eastAsia="Arial" w:hAnsi="Arial"/>
                <w:sz w:val="18"/>
                <w:szCs w:val="18"/>
                <w:color w:val="auto"/>
              </w:rPr>
              <w:t>39</w:t>
            </w:r>
          </w:p>
        </w:tc>
        <w:tc>
          <w:tcPr>
            <w:tcW w:w="9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Chemistry, Manufacturing and Controls</w:t>
            </w:r>
          </w:p>
        </w:tc>
        <w:tc>
          <w:tcPr>
            <w:tcW w:w="8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988</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245</w:t>
            </w:r>
          </w:p>
        </w:tc>
        <w:tc>
          <w:tcPr>
            <w:tcW w:w="9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03"/>
        </w:trPr>
        <w:tc>
          <w:tcPr>
            <w:tcW w:w="470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8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3,052</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2,768</w:t>
            </w:r>
          </w:p>
        </w:tc>
        <w:tc>
          <w:tcPr>
            <w:tcW w:w="3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284</w:t>
            </w:r>
          </w:p>
        </w:tc>
        <w:tc>
          <w:tcPr>
            <w:tcW w:w="32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10.3%</w:t>
            </w:r>
          </w:p>
        </w:tc>
      </w:tr>
      <w:tr>
        <w:trPr>
          <w:trHeight w:val="25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2,218</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(379)</w:t>
            </w:r>
          </w:p>
        </w:tc>
        <w:tc>
          <w:tcPr>
            <w:tcW w:w="9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(17.0)%</w:t>
            </w:r>
          </w:p>
        </w:tc>
      </w:tr>
      <w:tr>
        <w:trPr>
          <w:trHeight w:val="210"/>
        </w:trPr>
        <w:tc>
          <w:tcPr>
            <w:tcW w:w="47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4,891</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4,986</w:t>
            </w:r>
          </w:p>
        </w:tc>
        <w:tc>
          <w:tcPr>
            <w:tcW w:w="3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(4.2)%</w:t>
            </w:r>
          </w:p>
        </w:tc>
      </w:tr>
      <w:tr>
        <w:trPr>
          <w:trHeight w:val="229"/>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(4,766</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spacing w:after="0" w:line="230" w:lineRule="exact"/>
              <w:rPr>
                <w:sz w:val="20"/>
                <w:szCs w:val="20"/>
                <w:color w:val="auto"/>
              </w:rPr>
            </w:pPr>
            <w:r>
              <w:rPr>
                <w:rFonts w:ascii="Arial" w:cs="Arial" w:eastAsia="Arial" w:hAnsi="Arial"/>
                <w:sz w:val="15"/>
                <w:szCs w:val="15"/>
                <w:color w:val="auto"/>
              </w:rPr>
              <w:t>1.9</w:t>
            </w:r>
            <w:r>
              <w:rPr>
                <w:rFonts w:ascii="Arial" w:cs="Arial" w:eastAsia="Arial" w:hAnsi="Arial"/>
                <w:sz w:val="26"/>
                <w:szCs w:val="26"/>
                <w:color w:val="auto"/>
                <w:vertAlign w:val="superscript"/>
              </w:rPr>
              <w:t>%</w:t>
            </w:r>
          </w:p>
        </w:tc>
      </w:tr>
      <w:tr>
        <w:trPr>
          <w:trHeight w:val="20"/>
        </w:trPr>
        <w:tc>
          <w:tcPr>
            <w:tcW w:w="4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$125,000 in each of the first quarters of 2020 and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(“R&amp;D”) expenses increased by $0.3 million to $3.1 million in the first quarter of 2020 from $2.8 million in the same period of 2019. Costs associated with the OPTIMA Study decreased to $0.7 million in the first quarter of 2020 compared to $0.9 million in the same period of 2019. Costs associated the OVATION 2 Study increased to $0.3 million in the first quarter of 2020 compared to $0.1 million in the same period of 2019. Regulatory costs were $0.2 million in each of the first quarters of 2020 and 2019. Other clinical costs were consistent at $0.6 million in each of the first quarters of 2020 and 2019. Costs associated with the production of GEN-1 clinical supplies were consistent at $0.3 million in each of the first quarters of 2020 and 2019. R&amp;D costs associated with the development of GEN-1 to support the OVATION 2 Study increased to $0.9 million in the first quarter of 2020 compared to $0.6 million in the same period of 2019.</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decreased to $1.8 million in the first quarter of 2020 compared to $2.2 million in the same period of 2019. This decrease is primarily attributable to lower personnel costs of approximately $0.3 million which included a $0.2 million decrease in non-cash stock compensation expense and a decrease in professional fees of $0.2 million in the first quarter of 2020 when compared to the same period of 2019. The decrease was partially offset by an increase in premiums for directors’ and officers’ insurance for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 and Warrant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the condensed consolidated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the Amended Asset Purchase Agreement discussed in Note 8. Pursuant to the Amended Asset Purchase Agreement, payment of the earnout milestone liability related to the Ovarian Cancer Indication of $12.4 million has been modified. The Company has the option to make the payment as follows:</w:t>
      </w:r>
    </w:p>
    <w:p>
      <w:pPr>
        <w:spacing w:after="0" w:line="184" w:lineRule="exact"/>
        <w:rPr>
          <w:sz w:val="20"/>
          <w:szCs w:val="20"/>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provided EGWU, Inc. 200,000 warrants to purchase common stock at a strike price of $0.01 per warrant share as consideration for entering into the amended agreement. These warrant shares have no expiration and were fair valued at $2.00 using the closing price of a share of Celsion stock on the date of issuance offset by the exercise price and recorded as an expense in the income statement and were classified as equity on the balance sheet.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2020, and December 31, 2019, the Company fair valued the earn-out milestone liability at $5.8 million and $5.7 million, respectively and recognized a non-cash charge of $0.1 million for the three-months ended March 31, 2020. In assessing the earnout milestone liability at March 31, 2020, the Company fair valued each of the two payment options per the Amended Asset Purchase Agreement and weighted them at 80% and 20% probability for the $7.0 million and the $12.4 million payments,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2019, and December 31, 2018, the Company fair valued the earn-out milestone liability at $5.8 million and $8.9 million, respectively and recognized a non-cash benefit of $3.1 million during the three months ended March 31, 2019. In assessing the earnout milestone liability at March 31, 2019, the Company the fair valued each of the two payment options per the Amended Asset Purchase Agreement and weighted them at 80% and 20% probability for the $7.0 million and the $12.4 million payments,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realized $0.1 million of interest income from its short-term investments during each of the first quarters of 2020 and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entered into a new loan facility with Horizon Technology Finance Corporation on June 27, 2018. In connection with this debt facility the Company incurred $0.3 million in interest expense in each of the first quarters of 2020 and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w:t>
      </w:r>
    </w:p>
    <w:p>
      <w:pPr>
        <w:jc w:val="both"/>
        <w:spacing w:after="0" w:line="259" w:lineRule="auto"/>
        <w:rPr>
          <w:sz w:val="20"/>
          <w:szCs w:val="20"/>
          <w:color w:val="auto"/>
        </w:rPr>
      </w:pPr>
      <w:r>
        <w:rPr>
          <w:rFonts w:ascii="Arial" w:cs="Arial" w:eastAsia="Arial" w:hAnsi="Arial"/>
          <w:sz w:val="16"/>
          <w:szCs w:val="16"/>
          <w:color w:val="auto"/>
        </w:rPr>
        <w:t>development agreement with Hisun. The process of developing and commercializing ThermoDox</w:t>
      </w:r>
      <w:r>
        <w:rPr>
          <w:rFonts w:ascii="Arial" w:cs="Arial" w:eastAsia="Arial" w:hAnsi="Arial"/>
          <w:sz w:val="26"/>
          <w:szCs w:val="26"/>
          <w:color w:val="auto"/>
          <w:vertAlign w:val="superscript"/>
        </w:rPr>
        <w:t>®</w:t>
      </w:r>
      <w:r>
        <w:rPr>
          <w:rFonts w:ascii="Arial" w:cs="Arial" w:eastAsia="Arial" w:hAnsi="Arial"/>
          <w:sz w:val="16"/>
          <w:szCs w:val="16"/>
          <w:color w:val="auto"/>
        </w:rPr>
        <w:t>,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$296 million at March 31, 2020.</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March 31, 2020 we had total current assets of $18.9 million (including cash, cash equivalents and short-term investments, related interest receivable on short-term investments and receivable from sale of its New Jersey net operating losses of $17.5 million) and current liabilities of $7.4 million, resulting in net working capital of $11.5 million. At December 31, 2019 we had total current assets of $16.2 million (including cash, cash equivalents, short-term investment, interest receivable of $14.9 million) and current liabilities of $7.9 million, resulting in net working capital of $8.3 million.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operating activities for the first three months of 2020 was $5.0 million. Net cash used in investing activities was $1.9 million during the first three months of 2020. Net cash provided by financing activities was $5.8 million during the first three months of 2020 from net proceeds received through the sale of our common stock.</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seek additional capital through further public or private equity offerings, debt financing, additional strategic alliance and licensing arrangements, collaborative arrangements, potential sales of our net operating losses,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adequate funds are not available through either the capital markets, strategic alliances, collaborators, or sales of our net operating losses,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condensed consolidated balance sheet at fair value with unrealized gains or losses reported as a component of accumulated other comprehensive loss included in stockholders’ equity.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March 31, 2020,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September 20, 2019, a purported stockholder of the Company filed a derivative and putative class action lawsuit in the Superior Court of New Jersey, Chancery Division, against the Company (as both a class action defendant and nominal defendant), certain officers and directors), with the caption </w:t>
      </w:r>
      <w:r>
        <w:rPr>
          <w:rFonts w:ascii="Arial" w:cs="Arial" w:eastAsia="Arial" w:hAnsi="Arial"/>
          <w:sz w:val="18"/>
          <w:szCs w:val="18"/>
          <w:i w:val="1"/>
          <w:iCs w:val="1"/>
          <w:color w:val="auto"/>
        </w:rPr>
        <w:t>O’Connor v. Braun et al.</w:t>
      </w:r>
      <w:r>
        <w:rPr>
          <w:rFonts w:ascii="Arial" w:cs="Arial" w:eastAsia="Arial" w:hAnsi="Arial"/>
          <w:sz w:val="18"/>
          <w:szCs w:val="18"/>
          <w:color w:val="auto"/>
        </w:rPr>
        <w:t>, Docket No. MER-C-000068-19 (the “Shareholder Action”). The Shareholder Action alleges breaches of the defendants’ fiduciary</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allegations that the Defendants made or approved improper statements when seeking shareholder approval of the 2018 Stock Incentive Plan. The Shareholder Action seeks, among other things, any damages sustained by the Company as a result of the defendants’ alleged wrongdoing, a declaratory judgment against all defendants invalidating the 2018 Stock Incentive Plan and declaring any awards made under the Plan invalid, rescinded, and subject to disgorgement, an order disgorging the equity awards granted to the individual defendants under the 2018 Stock Incentive Plan, and attorneys’ fees and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following is a summary of the risk factors, uncertainties and assumptions that we believe are most relevant to our business. These are factors that, individually or in the aggregate, we think could cause our actual results to differ significantly from expected or historical results and our forward-looking statements. We note these factors for investors as permitted by Section 21E of the Securities Exchange Act of 1934, as amended and Section 27A of the Securities Act of 1933, as amended.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2019 filed on March 25, 2020 with the SEC. In assessing these risks, investors should also refer to the other information contained or incorporated by reference in this Quarterly Report and our other filings made from time to time with the SEC.</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a history of significant losses from operations and expect to continue to incur significant losses for the foreseeable future.</w:t>
      </w: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our inception, our expenses have substantially exceeded our revenue, resulting in continuing losses and an accumulated deficit of $296 million at March 31, 2020. For the year ended December 31, 2019 and the three months ended March 31, 2020, we incurred net losses of $16.9 million and $5.1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United States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delays or setbacks we may experience associated with our preclinical studies, clinical trials, third parties, or supply chain due to the COVID-19 pandemic, establishing a sales and marketing organization or suitable third-party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GEN-1 is currently in an early stage of clinical development for the treatment of ovarian cancer. We conducted a Phase I dose-escalation clinical trial of GEN-1 in combination with the standard of care in neo-adjuvant ovarian cancer starting in the second half of 2015 and completing enrollment in 2017. We also expanded our ovarian cancer development program to include a Phase I/II dose escalating trial evaluating GEN-1 in ovarian cancer patients. Our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 its primary endpoint in our earlier Phase III clinical trial.</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 In addition, we have initiated a Phase I dose-escalation clinical trial of GEN-1 in combination with the standard of care in neo-adjuvant ovarian cancer, known as the OVATION Study, and plan to expand our ovarian cancer development program to include a Phase I/II dose escalating trial evaluating GEN-1, known as the OVATION II Study, in ovarian cancer patients.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not generated significant revenue and have incurred significant net losses in each year since our inception. For the year ended December 31, 2019 and the three months ended March 31, 2020, we incurred net losses of $16.9 million and $5.1 million, respectively. We have incurred approximately $296 million of cumulative net losses. As of March 31, 2020, cash, cash equivalents and short-term investments, related interest receivable on short-term investments and receivable on sale of its New Jersey net operating losses of $17.5 million.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substantial future capital requirements to continue our research and development activities and advance our product candidates through various development stages. For example, ThermoDox® is being evaluated in a Phase III clinical trial in combination with RFA for the treatment of primary liver cancer and other preclinical studies. We completed a Phase I dose-escalation clinical trial of GEN-1 in combination with the standard of care in neo-adjuvant ovarian cancer in the third quarter of 2017 and expanded our clinical development program for GEN-1 into a follow-on Phase I/II trial for newly diagnosed ovarian cancer in 2018.</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including any unforeseen delays or increased costs we may incur as a result of the COVID-19 pandemic or other causes,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 Finally, even if we obtain FDA approval of any of our product candidates, we may never obtain approval or commercialize such products outside of the United States, given that we may be subject to additional or different regulatory burdens in other markets. This could limit our ability to realize their full market potential.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jc w:val="both"/>
        <w:ind w:right="20"/>
        <w:spacing w:after="0" w:line="282" w:lineRule="auto"/>
        <w:rPr>
          <w:sz w:val="20"/>
          <w:szCs w:val="20"/>
          <w:color w:val="auto"/>
        </w:rPr>
      </w:pPr>
      <w:r>
        <w:rPr>
          <w:rFonts w:ascii="Arial" w:cs="Arial" w:eastAsia="Arial" w:hAnsi="Arial"/>
          <w:sz w:val="18"/>
          <w:szCs w:val="18"/>
          <w:b w:val="1"/>
          <w:b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Securing FDA or comparable foreign regulatory approval requires the submission of extensive preclinical and clinical data and supporting information for each therapeutic indication to establish the product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71" w:lineRule="exact"/>
        <w:rPr>
          <w:sz w:val="20"/>
          <w:szCs w:val="20"/>
          <w:color w:val="auto"/>
        </w:rPr>
      </w:pPr>
    </w:p>
    <w:p>
      <w:pPr>
        <w:ind w:lef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factors related to the COVID-19 pandemic, including regulators or institutional review boards, or IRBs, or ethics committees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preclinical test or clinical trial may fail to produce safety and efficacy results satisfactory to the FDA or comparable foreign regulatory authorities;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preclinical and clinical data can be interpreted in different ways, which could delay, limit or prevent marketing approval;</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70"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delays or rejections based on changes in FDA policies or the policies of comparable foreign regulatory authorities during the period in which we develop a product candidate, or the period required for review of any final marketing approval before we are able to market any product candidate.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Separately, in response to the COVID-19 global pandemic, on March 10, 2020, the FDA announced its intention to postpone most inspections of foreign manufacturing facilities and products through at least April 2020, though no set end date has been determined. On March 18, 2020, the FDA announced its intention to temporarily postpone routine surveillance inspections of domestic manufacturing facilities. Regulatory authorities outside the United States may adopt similar restrictions or other policy measures in response to the COVID-19 pandemic and provide guidance regarding the conduct of clinical trials , which guidance continues to evolve. In April 2020, the FDA stated that its New Drug Program was continuing to meet program user fee performance goals, but due to many agency staff working on COVID-19 activities, it was possible that the FDA would not be able to sustain that level of performance indefinitely.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both"/>
        <w:spacing w:after="0" w:line="282" w:lineRule="auto"/>
        <w:rPr>
          <w:sz w:val="20"/>
          <w:szCs w:val="20"/>
          <w:color w:val="auto"/>
        </w:rPr>
      </w:pPr>
      <w:r>
        <w:rPr>
          <w:rFonts w:ascii="Arial" w:cs="Arial" w:eastAsia="Arial" w:hAnsi="Arial"/>
          <w:sz w:val="18"/>
          <w:szCs w:val="18"/>
          <w:b w:val="1"/>
          <w:bCs w:val="1"/>
          <w:color w:val="auto"/>
        </w:rPr>
        <w:t>The outbreak of the novel coronavirus disease, COVID-19, could adversely impact our business, including our preclinical studies and clinical trials.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2019, a novel strain of coronavirus, severe acute respiratory syndrome coronavirus 2 (SARS-CoV-2), was identified in Wuhan, China. This disease resulting from SARS-CoV-2, COVID-19, has now become a global pandemic. The outbreak and government measures taken in response have had a significant impact, both directly and indirectly, on businesses and commerce throughout the world generally: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our personnel have mainly been continuing their work outside of our offices. While, as of the date of this report, we have not experienced any material disruptions to the execution of the clinical trials and the research and development activities that we currently have underway, as a result of the pandemic we may experience disruptions that could severely impact research and development timelines and outcomes, including, but not limited to:</w:t>
      </w:r>
    </w:p>
    <w:p>
      <w:pPr>
        <w:spacing w:after="0" w:line="165" w:lineRule="exact"/>
        <w:rPr>
          <w:sz w:val="20"/>
          <w:szCs w:val="20"/>
          <w:color w:val="auto"/>
        </w:rPr>
      </w:pPr>
    </w:p>
    <w:p>
      <w:pPr>
        <w:ind w:left="660" w:hanging="38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25" w:lineRule="exact"/>
        <w:rPr>
          <w:rFonts w:ascii="Arial" w:cs="Arial" w:eastAsia="Arial" w:hAnsi="Arial"/>
          <w:sz w:val="18"/>
          <w:szCs w:val="18"/>
          <w:color w:val="auto"/>
        </w:rPr>
      </w:pPr>
    </w:p>
    <w:p>
      <w:pPr>
        <w:ind w:left="660" w:hanging="38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25" w:lineRule="exact"/>
        <w:rPr>
          <w:rFonts w:ascii="Arial" w:cs="Arial" w:eastAsia="Arial" w:hAnsi="Arial"/>
          <w:sz w:val="18"/>
          <w:szCs w:val="18"/>
          <w:color w:val="auto"/>
        </w:rPr>
      </w:pPr>
    </w:p>
    <w:p>
      <w:pPr>
        <w:ind w:left="660" w:hanging="38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70" w:lineRule="exact"/>
        <w:rPr>
          <w:rFonts w:ascii="Arial" w:cs="Arial" w:eastAsia="Arial" w:hAnsi="Arial"/>
          <w:sz w:val="18"/>
          <w:szCs w:val="18"/>
          <w:color w:val="auto"/>
        </w:rPr>
      </w:pPr>
    </w:p>
    <w:p>
      <w:pPr>
        <w:jc w:val="both"/>
        <w:ind w:left="660" w:hanging="382"/>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state or foreign governments, employers and others or interruption of clinical trial subject visits and study procedures (such as procedures that are deemed non-essential under law, regulation or institutional policies), which may impact the integrity of subject data and clinical study endpoints;</w:t>
      </w:r>
    </w:p>
    <w:p>
      <w:pPr>
        <w:spacing w:after="0" w:line="186" w:lineRule="exact"/>
        <w:rPr>
          <w:rFonts w:ascii="Arial" w:cs="Arial" w:eastAsia="Arial" w:hAnsi="Arial"/>
          <w:sz w:val="18"/>
          <w:szCs w:val="18"/>
          <w:color w:val="auto"/>
        </w:rPr>
      </w:pPr>
    </w:p>
    <w:p>
      <w:pPr>
        <w:ind w:left="660" w:hanging="38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225" w:lineRule="exact"/>
        <w:rPr>
          <w:rFonts w:ascii="Arial" w:cs="Arial" w:eastAsia="Arial" w:hAnsi="Arial"/>
          <w:sz w:val="18"/>
          <w:szCs w:val="18"/>
          <w:color w:val="auto"/>
        </w:rPr>
      </w:pPr>
    </w:p>
    <w:p>
      <w:pPr>
        <w:ind w:left="660" w:right="20" w:hanging="38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170" w:lineRule="exact"/>
        <w:rPr>
          <w:rFonts w:ascii="Arial" w:cs="Arial" w:eastAsia="Arial" w:hAnsi="Arial"/>
          <w:sz w:val="18"/>
          <w:szCs w:val="18"/>
          <w:color w:val="auto"/>
        </w:rPr>
      </w:pPr>
    </w:p>
    <w:p>
      <w:pPr>
        <w:ind w:left="660" w:hanging="38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contracted research facilities;</w:t>
      </w:r>
    </w:p>
    <w:p>
      <w:pPr>
        <w:spacing w:after="0" w:line="225" w:lineRule="exact"/>
        <w:rPr>
          <w:rFonts w:ascii="Arial" w:cs="Arial" w:eastAsia="Arial" w:hAnsi="Arial"/>
          <w:sz w:val="18"/>
          <w:szCs w:val="18"/>
          <w:color w:val="auto"/>
        </w:rPr>
      </w:pPr>
    </w:p>
    <w:p>
      <w:pPr>
        <w:ind w:left="660" w:hanging="38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costs we may incur as a result of the impact of the COVID-19 pandemic, including the costs of mitigation efforts;</w:t>
      </w:r>
    </w:p>
    <w:p>
      <w:pPr>
        <w:spacing w:after="0" w:line="225" w:lineRule="exact"/>
        <w:rPr>
          <w:rFonts w:ascii="Arial" w:cs="Arial" w:eastAsia="Arial" w:hAnsi="Arial"/>
          <w:sz w:val="18"/>
          <w:szCs w:val="18"/>
          <w:color w:val="auto"/>
        </w:rPr>
      </w:pPr>
    </w:p>
    <w:p>
      <w:pPr>
        <w:ind w:left="660" w:hanging="38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to obtain external financing to fund our operations and capital expenditures;</w:t>
      </w:r>
    </w:p>
    <w:p>
      <w:pPr>
        <w:spacing w:after="0" w:line="170" w:lineRule="exact"/>
        <w:rPr>
          <w:rFonts w:ascii="Arial" w:cs="Arial" w:eastAsia="Arial" w:hAnsi="Arial"/>
          <w:sz w:val="18"/>
          <w:szCs w:val="18"/>
          <w:color w:val="auto"/>
        </w:rPr>
      </w:pPr>
    </w:p>
    <w:p>
      <w:pPr>
        <w:ind w:left="660" w:hanging="38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investment-related risks, including difficulties in liquidating investments due to current market conditions and adverse investment performance;</w:t>
      </w:r>
    </w:p>
    <w:p>
      <w:pPr>
        <w:spacing w:after="0" w:line="248" w:lineRule="exact"/>
        <w:rPr>
          <w:rFonts w:ascii="Arial" w:cs="Arial" w:eastAsia="Arial" w:hAnsi="Arial"/>
          <w:sz w:val="16"/>
          <w:szCs w:val="16"/>
          <w:color w:val="auto"/>
        </w:rPr>
      </w:pPr>
    </w:p>
    <w:p>
      <w:pPr>
        <w:ind w:left="660" w:right="20" w:hanging="38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limitations on employee resources that would otherwise be focused on the conduct of our research and development activities, including because of sickness of employees or their families or the desire of employees to avoid contact with large groups of people; or</w:t>
      </w:r>
    </w:p>
    <w:p>
      <w:pPr>
        <w:spacing w:after="0" w:line="146" w:lineRule="exact"/>
        <w:rPr>
          <w:rFonts w:ascii="Arial" w:cs="Arial" w:eastAsia="Arial" w:hAnsi="Arial"/>
          <w:sz w:val="17"/>
          <w:szCs w:val="17"/>
          <w:color w:val="auto"/>
        </w:rPr>
      </w:pPr>
    </w:p>
    <w:p>
      <w:pPr>
        <w:jc w:val="both"/>
        <w:ind w:left="660" w:hanging="38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interruptions or limitations of the types described affecting our service providers and collaboration partners, including contract research organizations running clinical trials and collaboration partners sponsoring clinical trials in which we are supplying our product candidates or otherwise participating.</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the trading prices for common stock of other biopharmaceutical companies have been highly volatile as a result of the COVID-19 pandemic. The COVID-19 pandemic continues to rapidly evolve.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diagnose, contain and treat the disease. If we or any of the third parties with whom we engage were to experience shutdowns or other business disruptions, our ability to conduct our business and development activities in the manner and on the timelines presently planned could be materially and negatively impacted. There can be no assurance that any such disruptions or delays will not materially adversely impact our business, results of operations, access to financial resources and our financial condition.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jc w:val="both"/>
        <w:spacing w:after="0" w:line="266" w:lineRule="auto"/>
        <w:rPr>
          <w:sz w:val="20"/>
          <w:szCs w:val="20"/>
          <w:color w:val="auto"/>
        </w:rPr>
      </w:pPr>
      <w:r>
        <w:rPr>
          <w:rFonts w:ascii="Arial" w:cs="Arial" w:eastAsia="Arial" w:hAnsi="Arial"/>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regulatory approval process for novel product candidates such as ours can be significantly more expensive and take longer than for other, better known or more extensively studied product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product candidates in either the U.S. or the European Union or how long it will take to commercialize our product candidates.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Adverse events or the perception of adverse events in the field of gene therapy generally, or with respect to our product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we may be subject to review by the NIH Office of Biotechnology Activities’ Recombinant DNA Advisory Committee (the RAC). If undertaken, RAC can delay the initiation of a clinical trial, even if the FDA has reviewed the trial design and details and approved its initiation. Conversely, the FDA can put an investigational new drug (IND) application on a clinical hold even if the RAC has provided a favorable review or an exemption from in-depth, public review. Such committee and advisory group reviews and any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Any increased scrutiny could delay or increase the costs of our product development efforts or clinical trials.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our products receive regulatory approval, they may still face future development and regulatory difficulties. Government regulators may impose significant restrictions on a product’s indicated uses or marketing or impose ongoing requirements for potentially costly post-approval studies. This governmental oversight may be particularly strict with respect to gene-based therapies.</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continue our development of our product candidates and initiate clinical trials of our additional product candidates, serious adverse events, undesirable side effects or unexpected characteristics may emerge causing us to abandon these product candidates or limit their development to more narrow uses or subpopulations in which the serious adverse events, undesirable side effects or other characteristics are less prevalent, less severe or more acceptable from a risk-benefit perspective.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jc w:val="both"/>
        <w:spacing w:after="0" w:line="273" w:lineRule="auto"/>
        <w:rPr>
          <w:sz w:val="20"/>
          <w:szCs w:val="20"/>
          <w:color w:val="auto"/>
        </w:rPr>
      </w:pPr>
      <w:r>
        <w:rPr>
          <w:rFonts w:ascii="Arial" w:cs="Arial" w:eastAsia="Arial" w:hAnsi="Arial"/>
          <w:sz w:val="17"/>
          <w:szCs w:val="17"/>
          <w:color w:val="auto"/>
        </w:rPr>
        <w:t>Even if our product candidates initially show promise in these early clinical trials, the side effects of drugs are frequently only detectable after they are tested in large, Phase 3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and are determined to be attributed to our product candidate, we may be required to develop a Risk Evaluation and Mitigation Strategy (REMS) to mitigate those serious safety risks, which could impose significant distribution and use restrictions on our products.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drug-related side effects could also affect subject recruitment or the ability of enrolled subjects to complete the trial, result in potential product liability claims, reputational harm, withdrawal of approvals, a requirement to include additional warnings on the label or to create a medication guide outlining the risks of such side effects for distribution to patients. It can also result in patient harm, liability lawsuits, and reputational harm. Any of these occurrences could prevent us from achieving or maintaining market acceptance and may harm our business, financial condition and prospects significantly.</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encounter difficulties enrolling patients in our clinical trials, our clinical development activities could be delayed or otherwise adversely affected.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18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patient eligibility and exclusion criteria defined in the protocol;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 and the process for identifying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our research programs resulting from factors related to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or availability of patients to participate in our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drug candidates’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Certain of our planned clinical trials may also involve invasive procedures, which may lead some patients to drop out of trials to avoid these follow-up procedures.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18"/>
          <w:szCs w:val="18"/>
          <w:color w:val="auto"/>
        </w:rPr>
        <w:t>Further, timely enrollment in clinical trials is reliant on clinical trial sites which may be adversely affected by global health matters, including, among other things, pandemics. For example, our clinical trial sites may be located in regions currently being affected by the COVID-19 coronavirus. Some factors from the COVID-19 coronavirus outbreak that we believe may adversely affect enrollment in our trials include:</w:t>
      </w:r>
    </w:p>
    <w:p>
      <w:pPr>
        <w:spacing w:after="0" w:line="184" w:lineRule="exact"/>
        <w:rPr>
          <w:sz w:val="20"/>
          <w:szCs w:val="20"/>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diversion of healthcare resources away from the conduct of clinical trial matters to focus on pandemic concerns, including the attention of infectious disease physicians serving as our clinical trial investigators, hospitals serving as our clinical trial sites and hospital staff supporting the conduct of our clinical trials;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patients who would otherwise be candidates for enrollment in our clinical trials, may become infected with the COVID-19 coronavirus, which may kill some patients and render others too ill to participate, limiting the available pool of participants for our trials;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travel that interrupt key trial activities, such as clinical trial site initiations and monitoring;</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investigational drug product and comparator drugs used in our trials;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employee furlough days that delay necessary interactions with local regulators, ethics committees and other important agencies and contractors.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and other factors arising from the COVID-19 coronavirus could worsen in countries that are already afflicted with the virus or could continue to spread to additional countries, each of which may further adversely impact our clinical trials. The global outbreak of the COVID-19 coronavirus continues to evolve and the conduct of our trials may continue to be adversely affected, despite efforts to mitigate this impact.</w:t>
      </w:r>
    </w:p>
    <w:p>
      <w:pPr>
        <w:spacing w:after="0" w:line="180"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Strategic transactions, such as acquisitions, partnerships and collaborations, including the EGEN asset acquisition, involve numerous risks, including:</w:t>
      </w:r>
    </w:p>
    <w:p>
      <w:pPr>
        <w:spacing w:after="0" w:line="237" w:lineRule="exact"/>
        <w:rPr>
          <w:sz w:val="20"/>
          <w:szCs w:val="20"/>
          <w:color w:val="auto"/>
        </w:rPr>
      </w:pPr>
    </w:p>
    <w:p>
      <w:pPr>
        <w:ind w:left="5540" w:right="1960" w:hanging="5208"/>
        <w:spacing w:after="0" w:line="527" w:lineRule="auto"/>
        <w:tabs>
          <w:tab w:leader="none" w:pos="9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asset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asset acquisition or potential future transactions.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jc w:val="both"/>
        <w:ind w:right="20"/>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another’s claimed proprietary rights.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both"/>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third-party patent holder may assert a claim of patent infringement against us in the future. Alternatively, we may initiate litigation against the third-party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6"/>
          <w:szCs w:val="16"/>
          <w:b w:val="1"/>
          <w:bCs w:val="1"/>
          <w:i w:val="1"/>
          <w:iCs w:val="1"/>
          <w:color w:val="auto"/>
        </w:rPr>
        <w:t>ClinicalTrials.gov</w:t>
      </w:r>
      <w:r>
        <w:rPr>
          <w:rFonts w:ascii="Arial" w:cs="Arial" w:eastAsia="Arial" w:hAnsi="Arial"/>
          <w:sz w:val="16"/>
          <w:szCs w:val="16"/>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jc w:val="both"/>
        <w:ind w:right="20"/>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 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spacing w:after="0" w:line="266" w:lineRule="auto"/>
        <w:rPr>
          <w:sz w:val="20"/>
          <w:szCs w:val="20"/>
          <w:color w:val="auto"/>
        </w:rPr>
      </w:pPr>
      <w:r>
        <w:rPr>
          <w:rFonts w:ascii="Arial" w:cs="Arial" w:eastAsia="Arial" w:hAnsi="Arial"/>
          <w:sz w:val="18"/>
          <w:szCs w:val="18"/>
          <w:b w:val="1"/>
          <w:bCs w:val="1"/>
          <w:color w:val="auto"/>
        </w:rPr>
        <w:t>We have obtained Orphan Drug Designation for ThermoDox® and may seek Orphan Drug Designation for other product candidates, but we may be unsuccessful or may be unable to maintain the benefits associated with Orphan Drug Designation, including the potential for market exclusivity.</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ThermoDox® has been granted orphan drug designation for primary liver cancer in both the U.S. and Europe. As part of our business strategy, we may seek Orphan Drug Designation for other product candidates, but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though we have obtained Orphan Drug Designation for ThermoDox® and may obtain such designation for other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other product candidates, we may never receive such designations.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ThermoDox® has received U.S. FDA Fast Track Designation. However, we may not experience a faster development process, review, or approval compared to conventional FDA procedures. The FDA may withdraw our Fast Track designation if the FDA believes that the designation is no longer supported by data from our clinical or pivotal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which may constrain the business or financial arrangements and relationships through which such companies sell, market and distribute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state and foreign healthcare laws and regulations laws that may affect our ability to operate include, but are not limited to:</w:t>
      </w:r>
    </w:p>
    <w:p>
      <w:pPr>
        <w:spacing w:after="0" w:line="185" w:lineRule="exact"/>
        <w:rPr>
          <w:sz w:val="20"/>
          <w:szCs w:val="20"/>
          <w:color w:val="auto"/>
        </w:rPr>
      </w:pPr>
    </w:p>
    <w:p>
      <w:pPr>
        <w:jc w:val="both"/>
        <w:ind w:left="660" w:hanging="328"/>
        <w:spacing w:after="0" w:line="25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submitted for payment to any federal health care program that includes items or services that were made as a result of a violation of the federal Anti-Kickback Statute constitutes a false or fraudulent claim for purposes of the federal False Claims Act, or FCA.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both"/>
        <w:ind w:left="328" w:hanging="328"/>
        <w:spacing w:after="0" w:line="289" w:lineRule="auto"/>
        <w:tabs>
          <w:tab w:leader="none" w:pos="3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FCA, and civil monetary penalty laws which prohibit, among other things, individuals or entities from knowingly presenting, or causing to be presented, false, fictious or fraudulent claims for payment to, or approval by Medicare, Medicaid, or other federal healthcare programs; knowingly making, using or causing to be made or used a false record or statement material to a false or fraudulent claim or an obligation to pay or transmit money or property to the federal government; or knowingly concealing or knowingly and improperly avoiding or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w:t>
      </w:r>
    </w:p>
    <w:p>
      <w:pPr>
        <w:spacing w:after="0" w:line="166" w:lineRule="exact"/>
        <w:rPr>
          <w:rFonts w:ascii="Arial" w:cs="Arial" w:eastAsia="Arial" w:hAnsi="Arial"/>
          <w:sz w:val="16"/>
          <w:szCs w:val="16"/>
          <w:color w:val="auto"/>
        </w:rPr>
      </w:pPr>
    </w:p>
    <w:p>
      <w:pPr>
        <w:jc w:val="both"/>
        <w:ind w:left="328" w:hanging="328"/>
        <w:spacing w:after="0" w:line="272" w:lineRule="auto"/>
        <w:tabs>
          <w:tab w:leader="none" w:pos="32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77" w:lineRule="exact"/>
        <w:rPr>
          <w:rFonts w:ascii="Arial" w:cs="Arial" w:eastAsia="Arial" w:hAnsi="Arial"/>
          <w:sz w:val="17"/>
          <w:szCs w:val="17"/>
          <w:color w:val="auto"/>
        </w:rPr>
      </w:pPr>
    </w:p>
    <w:p>
      <w:pPr>
        <w:jc w:val="both"/>
        <w:ind w:left="328" w:hanging="328"/>
        <w:spacing w:after="0" w:line="271" w:lineRule="auto"/>
        <w:tabs>
          <w:tab w:leader="none" w:pos="328" w:val="left"/>
        </w:tabs>
        <w:numPr>
          <w:ilvl w:val="0"/>
          <w:numId w:val="26"/>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among other things,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perform services for covered entities that involve the creation, use, receipt, maintenance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78" w:lineRule="exact"/>
        <w:rPr>
          <w:rFonts w:ascii="Arial" w:cs="Arial" w:eastAsia="Arial" w:hAnsi="Arial"/>
          <w:sz w:val="17"/>
          <w:szCs w:val="17"/>
          <w:color w:val="auto"/>
        </w:rPr>
      </w:pPr>
    </w:p>
    <w:p>
      <w:pPr>
        <w:jc w:val="both"/>
        <w:ind w:left="328" w:hanging="328"/>
        <w:spacing w:after="0" w:line="293" w:lineRule="auto"/>
        <w:tabs>
          <w:tab w:leader="none" w:pos="3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Physician Payments Sunshine Act, created under the ACA, and its implementing regulations, which require some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in the previous year to certain non-physician providers such as physician assistants and nurse practitioners;</w:t>
      </w:r>
    </w:p>
    <w:p>
      <w:pPr>
        <w:spacing w:after="0" w:line="164" w:lineRule="exact"/>
        <w:rPr>
          <w:rFonts w:ascii="Arial" w:cs="Arial" w:eastAsia="Arial" w:hAnsi="Arial"/>
          <w:sz w:val="16"/>
          <w:szCs w:val="16"/>
          <w:color w:val="auto"/>
        </w:rPr>
      </w:pPr>
    </w:p>
    <w:p>
      <w:pPr>
        <w:ind w:left="328" w:hanging="328"/>
        <w:spacing w:after="0" w:line="277"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7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65" w:right="339" w:bottom="1440" w:gutter="0" w:footer="0" w:header="0"/>
        </w:sectPr>
      </w:pPr>
    </w:p>
    <w:bookmarkStart w:id="58" w:name="page59"/>
    <w:bookmarkEnd w:id="58"/>
    <w:p>
      <w:pPr>
        <w:jc w:val="both"/>
        <w:ind w:left="660" w:hanging="328"/>
        <w:spacing w:after="0" w:line="270"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third-party payors, including private insurers, and may be broader in scope than their federal equivalents; state and foreign laws that require biopharmaceutical companies to comply with the biopharmaceutical industry’s voluntary compliance guidelines and the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legislative and regulatory changes affecting the healthcare industry could have a material adverse effect on our business.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Political, economic and regulatory influences are subjecting the healthcare industry to potential fundamental changes that could substantially affect our results of operations by requiring, for example: (i) changes to our manufacturing arrangements; (ii) additions or modifications to product labeling; (iii) the recall or discontinuation of our products; or (iv) additional record-keeping requirements.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ACA was passed, which substantially changed the way health care is 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jc w:val="both"/>
        <w:spacing w:after="0" w:line="267" w:lineRule="auto"/>
        <w:rPr>
          <w:sz w:val="20"/>
          <w:szCs w:val="20"/>
          <w:color w:val="auto"/>
        </w:rPr>
      </w:pPr>
      <w:r>
        <w:rPr>
          <w:rFonts w:ascii="Arial" w:cs="Arial" w:eastAsia="Arial" w:hAnsi="Arial"/>
          <w:sz w:val="17"/>
          <w:szCs w:val="17"/>
          <w:color w:val="auto"/>
        </w:rPr>
        <w:t xml:space="preserve">Since its enactment, some of the provisions of the ACA have yet to be fully implemented, while certain provisions have been subject to judicial, congressional, and executive challenges. As a result, there have been delays in the implementation of, and action taken to repeal or replace, certain aspects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On December 10, 2019, the U.S. Supreme Court heard arguments in </w:t>
      </w:r>
      <w:r>
        <w:rPr>
          <w:rFonts w:ascii="Arial" w:cs="Arial" w:eastAsia="Arial" w:hAnsi="Arial"/>
          <w:sz w:val="17"/>
          <w:szCs w:val="17"/>
          <w:i w:val="1"/>
          <w:iCs w:val="1"/>
          <w:color w:val="auto"/>
        </w:rPr>
        <w:t>Moda</w:t>
      </w:r>
      <w:r>
        <w:rPr>
          <w:rFonts w:ascii="Arial" w:cs="Arial" w:eastAsia="Arial" w:hAnsi="Arial"/>
          <w:sz w:val="17"/>
          <w:szCs w:val="17"/>
          <w:color w:val="auto"/>
        </w:rPr>
        <w:t xml:space="preserve"> </w:t>
      </w:r>
      <w:r>
        <w:rPr>
          <w:rFonts w:ascii="Arial" w:cs="Arial" w:eastAsia="Arial" w:hAnsi="Arial"/>
          <w:sz w:val="17"/>
          <w:szCs w:val="17"/>
          <w:i w:val="1"/>
          <w:iCs w:val="1"/>
          <w:color w:val="auto"/>
        </w:rPr>
        <w:t>Health Plan, Inc. v. United States</w:t>
      </w:r>
      <w:r>
        <w:rPr>
          <w:rFonts w:ascii="Arial" w:cs="Arial" w:eastAsia="Arial" w:hAnsi="Arial"/>
          <w:sz w:val="17"/>
          <w:szCs w:val="17"/>
          <w:color w:val="auto"/>
        </w:rPr>
        <w:t>, which will determine whether the government must make risk corridor payments. The U.S. Supreme Court’s decision</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released in the coming months, but we cannot predict how the U.S. Supreme Court will rule. The effects of this gap in reimbursement on third-party payors, the viability of the ACA marketplace, providers, and potentially our business, are not yet known. While Congress has not passed comprehensive repeal legislation, it has enacted laws that modify certain provisions of the Affordable Care Act such as removing penalties, starting January 1, 2019, for not complying with the Affordable Care Act’s individual mandate to carry health insurance, delaying the implementation of certain Affordable Care Act-mandated fees, and increasing the point-of-sale discount that is owed by pharmaceutical manufacturers who participate in Medicare Part D. On December 14, 2018, a Texas U.S. District Court Judge ruled that the ACA is unconstitutional in its entirety because the “individual mandate” was repealed by Congress as part of the Tax Cuts and Jobs Act of 2017.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We cannot predict what affect further changes to the ACA would have on our business.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2% per fiscal year. These reductions went into effect on April 1, 2013 and, due to subsequent legislative amendments to the statute, including the Bipartisan Budget Act of 2018, or BBA, will remain in effect through 2030, unless additional congressional action is taken. The BBA also amended the ACA, effective January 1, 2019, by increasing the point-of-sale discount that is owed by pharmaceutical manufacturers who participate in Medicare Part D and closing the coverage gap in most Medicare drug plans, commonly referred to as the “donut hole”. However, pursuant to the CARES Act, these reductions will be suspended from May 1, 2020 through December 31, 2020 due to the COVID-19 pandemic.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Several states have adopted price transparency requirements and those as well as any future federal price transparency requirements that may be implemented in the future could have a negative effect on our business.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jc w:val="both"/>
        <w:spacing w:after="0" w:line="267" w:lineRule="auto"/>
        <w:rPr>
          <w:sz w:val="20"/>
          <w:szCs w:val="20"/>
          <w:color w:val="auto"/>
        </w:rPr>
      </w:pPr>
      <w:r>
        <w:rPr>
          <w:rFonts w:ascii="Arial" w:cs="Arial" w:eastAsia="Arial" w:hAnsi="Arial"/>
          <w:sz w:val="17"/>
          <w:szCs w:val="17"/>
          <w:color w:val="auto"/>
        </w:rPr>
        <w:t>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The Trump administration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solicited feedback on some of these measures and has implemented others under its existing authority. For example, in May 2019, CMS issued a final rule that would allow Medicare Advantage Plans the option of using step therapy, a type of prior authorization,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 will continue to seek new legislative and/or administrative measures to control drug costs. For example, the Lower Drug Costs Now Act of 2019 was introduced in the House of Representatives on September 19, 2019 and would require HHS to directly negotiate drug prices with manufacturers. The Lower Drugs Costs Now Act of 2019 has passed out of the House and was delivered to the Senate on December 16, 2019. However, it is unclear whether this bill will make it through both chambers and be signed into law, and if enacted, what effect it would have on our business.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federal and state legislative and regulatory developments are likely, and we expect ongoing initiatives in the United States to increase pressure on drug pricing. Such reforms could have an adverse effect on anticipated revenues from reloxaliase and any other product candidates that we may successfully develop and for which we may obtain regulatory approval and may affect our overall financial condition and ability to develop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fail to comply with evolving European and other privacy laws.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we conduct clinical trials in the European Economic Area (“EEA”), we are subject to additional European data-privacy laws. The General Data Protection Regulation, (EU) 2016/679 (“GDPR”) became effective on May 25, 2018 and deals with the processing of personal data and on the free movement of such data.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jc w:val="both"/>
        <w:spacing w:after="0" w:line="255" w:lineRule="auto"/>
        <w:rPr>
          <w:sz w:val="20"/>
          <w:szCs w:val="20"/>
          <w:color w:val="auto"/>
        </w:rPr>
      </w:pPr>
      <w:r>
        <w:rPr>
          <w:rFonts w:ascii="Arial" w:cs="Arial" w:eastAsia="Arial" w:hAnsi="Arial"/>
          <w:sz w:val="18"/>
          <w:szCs w:val="18"/>
          <w:color w:val="auto"/>
        </w:rPr>
        <w:t>In particular, national laws of member states of the EU are in the process of being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Further, the impact of the impending “Brexit”, (whereby the United Kingdom is planning to leave the EEA in March of 2019), either with or without a “deal” is uncertain and cannot be predicted at this time.</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event we continue to conduct clinical trials in the EEA, we must also ensure that we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Anype1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third-party payors, which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The reimbursement status of newly approved medical products is subject to significant uncertainty We cannot be sure that coverage and reimbursement will be available for, or accurately estimate the potential revenue from, our product candidates or assure that coverage and reimbursement will be available for any product that we may develop. Further, due to the COVID-19 pandemic, millions of individuals have lost or will be losing employer-based insurance coverage, which may adversely affect our ability to commercialize our product candidates even if there is adequate coverage and reimbursement from third-party payors.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Government authorities and other third-party payors decide which drugs and treatments they will cover and the amount of reimbursement.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Coverage and reimbursement by a third-party payor may depend upon a number of factors, including the third-party payor’s determination that use of a product is:</w:t>
      </w:r>
    </w:p>
    <w:p>
      <w:pPr>
        <w:spacing w:after="0" w:line="178"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jc w:val="both"/>
        <w:spacing w:after="0" w:line="255"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Government, private health insurers and other third-party payors are increasingly attempting to contain healthcare costs by limiting both coverage and the level of reimbursement for new therapeutic products approved for marketing by the FDA. For example, Congress passed the Affordable Care Act in 2010 which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Federal agencies, Congress and state legislatures have continued to show interest in implementing cost containment programs to limit the growth of health care costs, including price controls, price disclosures,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 candidates hold the potential to severely limit market opportunities of such products.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of our drug candidates or similar product candidates being investigated by our competitors may prove not to be effective in trial or in practice, cause adverse events or other undesirable side effects. Our testing and clinical practice may not confirm the safety and efficacy of our product candidates or even if further testing and clinical practice produce positive results, the medical community may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jc w:val="both"/>
        <w:spacing w:after="0" w:line="282" w:lineRule="auto"/>
        <w:rPr>
          <w:sz w:val="20"/>
          <w:szCs w:val="20"/>
          <w:color w:val="auto"/>
        </w:rPr>
      </w:pPr>
      <w:r>
        <w:rPr>
          <w:rFonts w:ascii="Arial" w:cs="Arial" w:eastAsia="Arial" w:hAnsi="Arial"/>
          <w:sz w:val="18"/>
          <w:szCs w:val="18"/>
          <w:b w:val="1"/>
          <w:bCs w:val="1"/>
          <w:color w:val="auto"/>
        </w:rPr>
        <w:t>Several of our current clinical trials are being conducted outside the United States, and the FDA may not accept data from trials conducted in foreign locations.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Several of our current clinical trials are being conducted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determination that the trials also complied with all applicable U.S. laws and regulations. We cannot assure you that the FDA will accept data from trials conducted outside of the United States. If the FDA does not accept the data from such clinical trials, it would likely result in the need for additional trials, which would be costly and time-consuming and delay or permanently halt our development of our product candidates.</w:t>
      </w:r>
    </w:p>
    <w:p>
      <w:pPr>
        <w:spacing w:after="0" w:line="162"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asset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asset acquisition, and on our ability to attract additional personnel as we seek to implement our business strategy and develop our product candidates and businesses. Our operations associated with the EGEN asset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jc w:val="both"/>
        <w:spacing w:after="0" w:line="266" w:lineRule="auto"/>
        <w:rPr>
          <w:sz w:val="20"/>
          <w:szCs w:val="20"/>
          <w:color w:val="auto"/>
        </w:rPr>
      </w:pPr>
      <w:r>
        <w:rPr>
          <w:rFonts w:ascii="Arial" w:cs="Arial" w:eastAsia="Arial" w:hAnsi="Arial"/>
          <w:sz w:val="18"/>
          <w:szCs w:val="18"/>
          <w:b w:val="1"/>
          <w:bCs w:val="1"/>
          <w:color w:val="auto"/>
        </w:rPr>
        <w:t>We or the third parties upon whom we depend may be adversely affected by earthquakes, global pandemics or other natural disasters and our business continuity and disaster recovery plans may not adequately protect us from a serious disaster, including earthquakes, outbreak of disease or other natural disasters.</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current operations are located in our facilities in Lawrenceville, New Jersey.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December 2019, an outbreak of a novel strain of coronavirus, or the COVID-19 coronavirus, originated in Wuhan, China. To date, this outbreak has already resulted in extended shutdowns of certain businesses in the Wuhan region and has had ripple effects to businesses around the world. An outbreak of communicable diseases in China or elsewhere, or the perception that such an outbreak could occur, and the measures taken by the governments of countries affected, could adversely affect our business, financial condition or results of operations by limiting our ability to manufacture products within or outside China, forcing temporary closure of facilities that we rely upon or increasing the costs associated with obtaining clinical supplies of our product candidates. The extent to which the COVID-19 coronavirus impacts our results will depend on future developments, which are highly uncertain and cannot be accurately predicted, including new information which may emerge concerning the severity of the COVID-19 coronavirus and the actions to contain the COVID-19 coronavirus or treat its impact, among others. Global health concerns, such as the COVID-19 coronavirus, could also result in social, economic, and labor instability in the countries in which we or the third parties with whom we engage operate.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16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privacy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product candidates could be delayed.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Pandemics such as the COVID-19 coronavirus could have an adverse impact on our developmental programs and our financial condition.</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2019, a novel strain of the COVID-19 coronavirus was first identified in Wuhan, Hubei Province, China. Any outbreak of contagious diseases, or other adverse public health developments, could have a material and adverse effect on our business operations. These could include disruptions or restrictions on our ability to travel, pursue partnerships and other business transactions, conduct clinical trials, make shipments of biologic materials, as well as be impacted by the temporary closure of the facilities of suppliers and clinical trial sites. Any disruption of suppliers, clinical trial sites or access to patients would likely impact our clinical trial enrollment progress and rates as well as our ability to access capital through the financial markets. The extent to which the COVID-19 coronavirus impacts our business will depend on future developments, which are highly uncertain and cannot be predicted, including new information which may emerge concerning the severity of the COVID-19 coronavirus and the actions to contain the COVID-19 coronavirus or treat its impact, among others.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trading price for our common stock has been, and we expect it to continue to be, volatile.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$3.48 and a low price of $1.35 in the 52-week period ended December 31, 2018, a high price of $2.47 and a low price of $1.08 in the 52-week period ended December 31, 2019, and a high price of $1.73 and a low price of $0.72 from January 1, 2020 through May 14, 2020. Among the factors that may cause the market price of our common stock to fluctuate are the risks described in this “Risk Factors” section and other factors, including:</w:t>
      </w:r>
    </w:p>
    <w:p>
      <w:pPr>
        <w:spacing w:after="0" w:line="18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 especially changes in laws and regulations applicable to our product candidates;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introductions and announcements of new products by us or our competitors, and the timing of these introductions or announcements;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acquisitions and financings, including the EGEN asset acquisition;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May 14, 2020, we had 29,257,435 shares of common stock outstanding, all of which,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asset acquisition. Our stockholders may experience significant dilution as a result of future equity offerings or issuances. Investors purchasing shares or other securities in the future could have rights superior to existing stockholders. As of May 14, 2020, we have a significant number of securities convertible into, or allowing the purchase of, our common stock, including 3,826,098 shares of common stock issuable upon exercise of warrants outstanding, 4,266,890 options to purchase shares of our common stock and restricted stock awards outstanding, and 24,152 shares of common stock reserved for future issuance under our stock incentive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Changes in tax law could adversely affect our financial condition and results of operations.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on March 27, 2020, President Trump signed into law the “Coronavirus Aid, Relief, and Economic Security Act” or the CARES Act, which included certain changes in tax law intended to stimulate the U.S. economy in light of the COVID-19 coronavirus outbreak, including temporary beneficial changes to the treatment of net operating losses, interest deductibility limitations and payroll tax matters.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On December 22, 2017, the President of the United States signed into law the Tax Reform Act. The Tax Reform Act significantly changes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 Net operating losses generated after December 31, 2017 are not subject to expiration, and generally </w:t>
      </w:r>
      <w:r>
        <w:rPr>
          <w:rFonts w:ascii="Arial" w:cs="Arial" w:eastAsia="Arial" w:hAnsi="Arial"/>
          <w:sz w:val="16"/>
          <w:szCs w:val="16"/>
          <w:color w:val="auto"/>
          <w:strike w:val="1"/>
        </w:rPr>
        <w:t>but</w:t>
      </w:r>
      <w:r>
        <w:rPr>
          <w:rFonts w:ascii="Arial" w:cs="Arial" w:eastAsia="Arial" w:hAnsi="Arial"/>
          <w:sz w:val="16"/>
          <w:szCs w:val="16"/>
          <w:color w:val="auto"/>
        </w:rPr>
        <w:t xml:space="preserve"> may not be carried back to prior taxable years except that, under the CARES Act, net operating losses generated in 2018, 2019 and 2020 may be carried back five taxable years. Additionally, for taxable years beginning after December 31, 2020, the deductibility of such federal net operating losses is limited to 80% of our taxable income in any future taxable year.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2018, 2017 and years prior, we performed analyses to determine if there were changes in ownership, as defined by Section 382 of the Internal Revenue Code that would limit our ability to utilize certain net operating loss and tax credit carry forwards. We determined we experienced ownership changes, as defined by Section 382, in connection with certain common stock offerings in 2011, 2013, 2015, 2017 and 2018.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10200" w:type="dxa"/>
            <w:vAlign w:val="bottom"/>
            <w:tcBorders>
              <w:bottom w:val="single" w:sz="8" w:color="0000EE"/>
            </w:tcBorders>
            <w:gridSpan w:val="3"/>
          </w:tcPr>
          <w:p>
            <w:pPr>
              <w:spacing w:after="0"/>
              <w:rPr>
                <w:rFonts w:ascii="Arial" w:cs="Arial" w:eastAsia="Arial" w:hAnsi="Arial"/>
                <w:sz w:val="18"/>
                <w:szCs w:val="18"/>
                <w:color w:val="0000EE"/>
                <w:w w:val="92"/>
              </w:rPr>
            </w:pPr>
            <w:hyperlink r:id="rId75">
              <w:r>
                <w:rPr>
                  <w:rFonts w:ascii="Arial" w:cs="Arial" w:eastAsia="Arial" w:hAnsi="Arial"/>
                  <w:sz w:val="18"/>
                  <w:szCs w:val="18"/>
                  <w:color w:val="0000EE"/>
                  <w:w w:val="92"/>
                </w:rPr>
                <w:t>Form of Common Stock Purchase Warrant (incorporated herein by reference to Exhibit 4.1 to the Registrant’s Current Report on Form 8-K</w:t>
              </w:r>
            </w:hyperlink>
          </w:p>
        </w:tc>
      </w:tr>
      <w:tr>
        <w:trPr>
          <w:trHeight w:val="196"/>
        </w:trPr>
        <w:tc>
          <w:tcPr>
            <w:tcW w:w="1040" w:type="dxa"/>
            <w:vAlign w:val="bottom"/>
          </w:tcPr>
          <w:p>
            <w:pPr>
              <w:spacing w:after="0"/>
              <w:rPr>
                <w:sz w:val="17"/>
                <w:szCs w:val="17"/>
                <w:color w:val="auto"/>
              </w:rPr>
            </w:pPr>
          </w:p>
        </w:tc>
        <w:tc>
          <w:tcPr>
            <w:tcW w:w="51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filed with the Securities and Exchange Commission on March 3, 2020).</w:t>
              </w:r>
            </w:hyperlink>
          </w:p>
        </w:tc>
        <w:tc>
          <w:tcPr>
            <w:tcW w:w="504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02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Certification of Chief Executive Officer pursuant to Rule 13a-14(a)/15d-14(a), as adopted pursuant to Section 302 of the Sarbanes-Oxley Act</w:t>
              </w:r>
            </w:hyperlink>
          </w:p>
        </w:tc>
      </w:tr>
      <w:tr>
        <w:trPr>
          <w:trHeight w:val="196"/>
        </w:trPr>
        <w:tc>
          <w:tcPr>
            <w:tcW w:w="104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of 2002.</w:t>
              </w:r>
            </w:hyperlink>
          </w:p>
        </w:tc>
        <w:tc>
          <w:tcPr>
            <w:tcW w:w="9600" w:type="dxa"/>
            <w:vAlign w:val="bottom"/>
            <w:gridSpan w:val="2"/>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Certification of Chief Financial Officer pursuant to Rule 13a-14(a)/15d-14(a), as adopted pursuant to Section 302 of the Sarbanes-Oxley Act</w:t>
              </w:r>
            </w:hyperlink>
          </w:p>
        </w:tc>
      </w:tr>
      <w:tr>
        <w:trPr>
          <w:trHeight w:val="196"/>
        </w:trPr>
        <w:tc>
          <w:tcPr>
            <w:tcW w:w="104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of 2002.</w:t>
              </w:r>
            </w:hyperlink>
          </w:p>
        </w:tc>
        <w:tc>
          <w:tcPr>
            <w:tcW w:w="9600" w:type="dxa"/>
            <w:vAlign w:val="bottom"/>
            <w:gridSpan w:val="2"/>
          </w:tcPr>
          <w:p>
            <w:pPr>
              <w:spacing w:after="0"/>
              <w:rPr>
                <w:sz w:val="17"/>
                <w:szCs w:val="17"/>
                <w:color w:val="auto"/>
              </w:rPr>
            </w:pP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0200" w:type="dxa"/>
            <w:vAlign w:val="bottom"/>
            <w:gridSpan w:val="3"/>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Certification pursuant to 18 U.S.C. Section 1350, as adopted pursuant to Section 906 of the Sarbanes-Oxley Act of 2002.</w:t>
              </w:r>
            </w:hyperlink>
          </w:p>
        </w:tc>
      </w:tr>
    </w:tbl>
    <w:p>
      <w:pPr>
        <w:spacing w:after="0" w:line="202" w:lineRule="exact"/>
        <w:rPr>
          <w:sz w:val="20"/>
          <w:szCs w:val="20"/>
          <w:color w:val="auto"/>
        </w:rPr>
      </w:pPr>
    </w:p>
    <w:p>
      <w:pPr>
        <w:ind w:left="1040" w:hanging="103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1040" w:hanging="1039"/>
        <w:spacing w:after="0" w:line="287" w:lineRule="auto"/>
        <w:tabs>
          <w:tab w:leader="none" w:pos="10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Quarterly Report on Form 10-Q for the quarter ended March 31, 2020 formatted in XBRL (Extensible Business Reporting Language): (i) the unaudited Consolidated Balance Sheets, (ii) the unaudited Consolidated Statements of Operations, (iii) the unaudited Consolidated Statements of Comprehensive Loss, (iv) the unaudited Consolidated Statements of Cash Flows,</w:t>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(v) the unaudited Consolidated Statements of Change in Stockholders’ Equity (Deficit), and (vi) Notes to Consolidated Financial Statements.</w:t>
      </w:r>
    </w:p>
    <w:p>
      <w:pPr>
        <w:spacing w:after="0" w:line="233" w:lineRule="exact"/>
        <w:rPr>
          <w:sz w:val="20"/>
          <w:szCs w:val="20"/>
          <w:color w:val="auto"/>
        </w:rPr>
      </w:pPr>
    </w:p>
    <w:p>
      <w:pPr>
        <w:ind w:left="1040" w:hanging="1026"/>
        <w:spacing w:after="0" w:line="259" w:lineRule="auto"/>
        <w:rPr>
          <w:sz w:val="20"/>
          <w:szCs w:val="20"/>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6" w:lineRule="exact"/>
        <w:rPr>
          <w:sz w:val="20"/>
          <w:szCs w:val="20"/>
          <w:color w:val="auto"/>
        </w:rPr>
      </w:pPr>
    </w:p>
    <w:p>
      <w:pPr>
        <w:ind w:left="1040" w:hanging="1032"/>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May 15, 2020</w:t>
      </w:r>
      <w:r>
        <w:rPr>
          <w:sz w:val="20"/>
          <w:szCs w:val="20"/>
          <w:color w:val="auto"/>
        </w:rPr>
        <w:tab/>
      </w:r>
      <w:r>
        <w:rPr>
          <w:rFonts w:ascii="Arial" w:cs="Arial" w:eastAsia="Arial" w:hAnsi="Arial"/>
          <w:sz w:val="17"/>
          <w:szCs w:val="17"/>
          <w:color w:val="auto"/>
        </w:rPr>
        <w:t>CELSION CORPORATION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0" w:hanging="328"/>
        <w:spacing w:after="0" w:line="291"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May 15,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0" w:hanging="328"/>
        <w:spacing w:after="0" w:line="29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May 15,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March 31, 2020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May 15,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May 15,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both"/>
        <w:ind w:firstLine="8"/>
        <w:spacing w:after="0" w:line="263" w:lineRule="auto"/>
        <w:tabs>
          <w:tab w:leader="none" w:pos="1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upperLetter"/>
      <w:start w:val="24"/>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3"/>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lvl w:ilvl="1">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75" Type="http://schemas.openxmlformats.org/officeDocument/2006/relationships/hyperlink" Target="http://www.sec.gov/Archives/edgar/data/749647/000149315220003271/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2020-05-15T07:46:45Z</dcterms:created>
  <dcterms:modified xsi:type="dcterms:W3CDTF">2020-05-15T07:46:45Z</dcterms:modified>
</cp:coreProperties>
</file>